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5140" w14:textId="40CB3B4A" w:rsidR="00952F10" w:rsidRDefault="00C17B3B" w:rsidP="00C17B3B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820D0B">
        <w:rPr>
          <w:rFonts w:ascii="Arial" w:hAnsi="Arial" w:cs="Arial"/>
          <w:b/>
        </w:rPr>
        <w:t xml:space="preserve">GLOSARIO </w:t>
      </w:r>
      <w:r>
        <w:rPr>
          <w:rFonts w:ascii="Arial" w:hAnsi="Arial" w:cs="Arial"/>
          <w:b/>
        </w:rPr>
        <w:t>EQUIPO DE SEGURIDAD ALIMENTARIA Y NUTRICIONAL</w:t>
      </w:r>
    </w:p>
    <w:p w14:paraId="06B81D55" w14:textId="71333B83" w:rsidR="00C17B3B" w:rsidRPr="00820D0B" w:rsidRDefault="00C17B3B" w:rsidP="00C17B3B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INCLUSION SOCIAL, FAMILIA Y DERECHOS HUMANOS</w:t>
      </w:r>
    </w:p>
    <w:p w14:paraId="75D621AF" w14:textId="5C29F6D1" w:rsidR="00B44EE3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Ración preparada en el sitio:</w:t>
      </w:r>
      <w:r w:rsidRPr="00820D0B">
        <w:rPr>
          <w:rFonts w:ascii="Arial" w:hAnsi="Arial" w:cs="Arial"/>
        </w:rPr>
        <w:t xml:space="preserve"> complemento alimentario preparado directamente en las instalaciones de los establecimientos educativos que cuenten con las condiciones de infraestructura para el almacenamiento, preparación y distribución de la alimentación.</w:t>
      </w:r>
    </w:p>
    <w:p w14:paraId="68261BF7" w14:textId="6E04C962" w:rsidR="007071CE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Ración industrializada:</w:t>
      </w:r>
      <w:r w:rsidRPr="00820D0B">
        <w:rPr>
          <w:rFonts w:ascii="Arial" w:hAnsi="Arial" w:cs="Arial"/>
        </w:rPr>
        <w:t xml:space="preserve"> complemento alimentario listo para consumo, compuesto por alimentos no procesados (frutas), y alimentos procesados provenientes de empresas debidamente avaladas por la autoridad sanitaria competente, y fabricados o envasados bajo las condiciones de producción, empaque, transporte, almacenamiento y manejo exigidos en la normatividad vigente.</w:t>
      </w:r>
    </w:p>
    <w:p w14:paraId="3D67D633" w14:textId="718ED241" w:rsidR="00B44EE3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Comedor escolar:</w:t>
      </w:r>
      <w:r w:rsidRPr="00820D0B">
        <w:rPr>
          <w:rFonts w:ascii="Arial" w:hAnsi="Arial" w:cs="Arial"/>
        </w:rPr>
        <w:t xml:space="preserve"> espacio dentro del establecimiento educativo, destinado para la preparación y consumo de alimentos, que promueve la convivencia, el buen trato, hábitos de alimentación y estilos de vida saludable en la población escolar.</w:t>
      </w:r>
    </w:p>
    <w:p w14:paraId="06836B4A" w14:textId="43B62B67" w:rsidR="00B44EE3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Eta (enfermedad transmitida por alimentos):</w:t>
      </w:r>
      <w:r w:rsidRPr="00820D0B">
        <w:rPr>
          <w:rFonts w:ascii="Arial" w:hAnsi="Arial" w:cs="Arial"/>
        </w:rPr>
        <w:t xml:space="preserve"> síndrome originado por la ingestión de alimentos o agua, o ambos, que contengan agentes etiológicos (causantes de enfermedades) en cantidades tales que afectan la salud del consumidor individualmente, o en grupos de población. Puede ser de dos tipos: infección alimentaria e intoxicación alimentaria. *las alergias causadas por hipersensibilidad individual de ciertos alimentos no son considerados eta</w:t>
      </w:r>
    </w:p>
    <w:p w14:paraId="0967EFF2" w14:textId="613F7D13" w:rsidR="00B44EE3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Inocuidad de los alimentos</w:t>
      </w:r>
      <w:r w:rsidRPr="00820D0B">
        <w:rPr>
          <w:rFonts w:ascii="Arial" w:hAnsi="Arial" w:cs="Arial"/>
        </w:rPr>
        <w:t>: es la condición de los alimentos que garantiza que no causaran daño al consumidor cuando se preparen y consuman de acuerdo con el uso al que se destinan</w:t>
      </w:r>
    </w:p>
    <w:p w14:paraId="32CD8B46" w14:textId="41F2339E" w:rsidR="00B44EE3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Plan de alistamiento:</w:t>
      </w:r>
      <w:r w:rsidRPr="00820D0B">
        <w:rPr>
          <w:rFonts w:ascii="Arial" w:hAnsi="Arial" w:cs="Arial"/>
        </w:rPr>
        <w:t xml:space="preserve"> conjunto de actividades que permiten la preparación para el inicio de la operación, cumpliendo con lo establecido por el lineamiento técnico administrativo del programa de alimentación escolar.</w:t>
      </w:r>
    </w:p>
    <w:p w14:paraId="3E8608E1" w14:textId="7DD57481" w:rsidR="005916A3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Plan de saneamiento</w:t>
      </w:r>
      <w:r w:rsidRPr="00820D0B">
        <w:rPr>
          <w:rFonts w:ascii="Arial" w:hAnsi="Arial" w:cs="Arial"/>
        </w:rPr>
        <w:t>: documento que toda persona natural o jurídica propietaria del establecimiento que fabrique, procese, envase, embale, almacene y expenda alimentos y sus materias primas debe implantar y desarrollar, con objetivos claramente definidos y con los procedimientos requeridos para disminuir los riesgos de contaminación de los alimentos. Este plan debe estar escrito y a disposición de la autoridad sanitaria competente; este debe incluir como mínimo los procedimientos, cronogramas, registros, listas de chequeo y responsables de los siguientes programas: limpieza y desinfección, desechos sólidos, control de plagas y abastecimiento o suministro de agua potable.</w:t>
      </w:r>
    </w:p>
    <w:p w14:paraId="69B79D6A" w14:textId="2EA8D561" w:rsidR="005916A3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Agricultura urbana y periurbana (</w:t>
      </w:r>
      <w:proofErr w:type="spellStart"/>
      <w:r w:rsidRPr="00820D0B">
        <w:rPr>
          <w:rFonts w:ascii="Arial" w:hAnsi="Arial" w:cs="Arial"/>
          <w:b/>
        </w:rPr>
        <w:t>aup</w:t>
      </w:r>
      <w:proofErr w:type="spellEnd"/>
      <w:r w:rsidRPr="00820D0B">
        <w:rPr>
          <w:rFonts w:ascii="Arial" w:hAnsi="Arial" w:cs="Arial"/>
          <w:b/>
        </w:rPr>
        <w:t>):</w:t>
      </w:r>
      <w:r w:rsidRPr="00820D0B">
        <w:rPr>
          <w:rFonts w:ascii="Arial" w:hAnsi="Arial" w:cs="Arial"/>
        </w:rPr>
        <w:t xml:space="preserve"> se refiere a "prácticas agrícolas que se llevan a cabo dentro de los límites o en los alrededores de las ciudades de todo el mundo</w:t>
      </w:r>
    </w:p>
    <w:p w14:paraId="7081FF95" w14:textId="10C3AE47" w:rsidR="005916A3" w:rsidRPr="00C17B3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Agricultura urbana:</w:t>
      </w:r>
      <w:r w:rsidRPr="00820D0B">
        <w:rPr>
          <w:rFonts w:ascii="Arial" w:hAnsi="Arial" w:cs="Arial"/>
        </w:rPr>
        <w:t xml:space="preserve"> se entiende la producción de alimentos dentro de los confines de las ciudades: en los patios, terrazas, huertos comunitarios y huertas de frutales, así como en espacios públicos o no aprovechados. Incluye operaciones comerciales que producen alimentos en invernaderos y en espacios al aire libre, pero en la mayoría de los casos se trata de una actividad en pequeña escala y dispersa por toda la ciudad.</w:t>
      </w:r>
    </w:p>
    <w:p w14:paraId="41AAB871" w14:textId="48367CF5" w:rsidR="007F4885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Agricultura periurbana</w:t>
      </w:r>
      <w:r w:rsidRPr="00820D0B">
        <w:rPr>
          <w:rFonts w:ascii="Arial" w:hAnsi="Arial" w:cs="Arial"/>
        </w:rPr>
        <w:t>: la que se practica en torno a los centros urbanos, en un espacio intermedio entre la ciudad y el campo. Se trata de explotaciones localizadas en las cercanías del perímetro de las ciudades, en un espacio de "confrontación" o transición entre lo urbano y lo rural y que, dependiendo de la superficie pueden tener otras actividades como la ganadería, la silvicultura o la pesca</w:t>
      </w:r>
    </w:p>
    <w:p w14:paraId="41E678C0" w14:textId="484C375B" w:rsidR="004A4CA3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Extensión agrícola</w:t>
      </w:r>
      <w:r w:rsidRPr="00820D0B">
        <w:rPr>
          <w:rFonts w:ascii="Arial" w:hAnsi="Arial" w:cs="Arial"/>
        </w:rPr>
        <w:t>: es un proceso educativo informal de transferencia de información técnica, orientado a toda la población dispuesta a producir alimentos, en el que se proporciona la información necesaria para apoyar la solución de problemas</w:t>
      </w:r>
    </w:p>
    <w:p w14:paraId="12AD95F0" w14:textId="73BF8330" w:rsidR="004A7F7F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lastRenderedPageBreak/>
        <w:t>Asesoría técnica:</w:t>
      </w:r>
      <w:r w:rsidRPr="00820D0B">
        <w:rPr>
          <w:rFonts w:ascii="Arial" w:hAnsi="Arial" w:cs="Arial"/>
        </w:rPr>
        <w:t xml:space="preserve"> es un servicio de acompañamiento a las familias urbanas y periurbanas participantes en proyectos de huertas para autoconsumo, que además de lo técnico incluye los módulos social, ambiental, comercial, financiero y nutricional</w:t>
      </w:r>
    </w:p>
    <w:p w14:paraId="312FEC5F" w14:textId="7393C4C9" w:rsidR="004A7F7F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Complemento alimentario jornada de la tarde:</w:t>
      </w:r>
      <w:r w:rsidRPr="00820D0B">
        <w:rPr>
          <w:rFonts w:ascii="Arial" w:hAnsi="Arial" w:cs="Arial"/>
        </w:rPr>
        <w:t xml:space="preserve"> esta modalidad se recomienda para las niñas, niños y adolescentes que, según los criterios de focalización, son población objetivo del programa y se encuentran matriculados en la jornada tarde. </w:t>
      </w:r>
    </w:p>
    <w:p w14:paraId="1424CF5C" w14:textId="73885E13" w:rsidR="00820D0B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Almuerzo:</w:t>
      </w:r>
      <w:r w:rsidRPr="00820D0B">
        <w:rPr>
          <w:rFonts w:ascii="Arial" w:hAnsi="Arial" w:cs="Arial"/>
        </w:rPr>
        <w:t xml:space="preserve"> esta modalidad se recomienda para las niñas, niños y adolescentes que, según los criterios de focalización, son población objetivo del </w:t>
      </w:r>
      <w:proofErr w:type="spellStart"/>
      <w:r w:rsidRPr="00820D0B">
        <w:rPr>
          <w:rFonts w:ascii="Arial" w:hAnsi="Arial" w:cs="Arial"/>
        </w:rPr>
        <w:t>pae</w:t>
      </w:r>
      <w:proofErr w:type="spellEnd"/>
      <w:r w:rsidRPr="00820D0B">
        <w:rPr>
          <w:rFonts w:ascii="Arial" w:hAnsi="Arial" w:cs="Arial"/>
        </w:rPr>
        <w:t xml:space="preserve"> y se encuentran matriculados en jornada única y/o de la tarde.</w:t>
      </w:r>
    </w:p>
    <w:p w14:paraId="5A88304E" w14:textId="4D1C3C2D" w:rsidR="00820D0B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Cs/>
          <w:iCs/>
        </w:rPr>
      </w:pPr>
      <w:proofErr w:type="spellStart"/>
      <w:r w:rsidRPr="00820D0B">
        <w:rPr>
          <w:rFonts w:ascii="Arial" w:hAnsi="Arial" w:cs="Arial"/>
          <w:b/>
          <w:bCs/>
          <w:iCs/>
        </w:rPr>
        <w:t>Pae</w:t>
      </w:r>
      <w:proofErr w:type="spellEnd"/>
      <w:r w:rsidRPr="00820D0B">
        <w:rPr>
          <w:rFonts w:ascii="Arial" w:hAnsi="Arial" w:cs="Arial"/>
          <w:b/>
          <w:bCs/>
          <w:iCs/>
        </w:rPr>
        <w:t>- programa de alimentación escolar:</w:t>
      </w:r>
      <w:r w:rsidRPr="00820D0B">
        <w:rPr>
          <w:rFonts w:ascii="Arial" w:hAnsi="Arial" w:cs="Arial"/>
          <w:bCs/>
          <w:iCs/>
        </w:rPr>
        <w:t xml:space="preserve"> programa que tiene por objeto suministrar un complemento alimentario que contribuya al acceso con permanencia en la jornada académica, de los niños, niñas, adolescentes y jóvenes, registrados en la matricula oficial, fomentando hábitos alimentarios saludables. </w:t>
      </w:r>
    </w:p>
    <w:p w14:paraId="35B20617" w14:textId="028F67B9" w:rsidR="00820D0B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Cs/>
          <w:iCs/>
        </w:rPr>
      </w:pPr>
      <w:r w:rsidRPr="00820D0B">
        <w:rPr>
          <w:rFonts w:ascii="Arial" w:hAnsi="Arial" w:cs="Arial"/>
          <w:b/>
          <w:bCs/>
          <w:iCs/>
        </w:rPr>
        <w:t>Minuta patrón:</w:t>
      </w:r>
      <w:r w:rsidRPr="00820D0B">
        <w:rPr>
          <w:rFonts w:ascii="Arial" w:hAnsi="Arial" w:cs="Arial"/>
          <w:bCs/>
          <w:iCs/>
        </w:rPr>
        <w:t xml:space="preserve"> </w:t>
      </w:r>
      <w:r w:rsidRPr="00820D0B">
        <w:rPr>
          <w:rFonts w:ascii="Arial" w:hAnsi="Arial" w:cs="Arial"/>
        </w:rPr>
        <w:t xml:space="preserve">es una guía de obligatorio cumplimiento para la implementación del </w:t>
      </w:r>
      <w:proofErr w:type="spellStart"/>
      <w:r w:rsidRPr="00820D0B">
        <w:rPr>
          <w:rFonts w:ascii="Arial" w:hAnsi="Arial" w:cs="Arial"/>
        </w:rPr>
        <w:t>pae</w:t>
      </w:r>
      <w:proofErr w:type="spellEnd"/>
      <w:r w:rsidRPr="00820D0B">
        <w:rPr>
          <w:rFonts w:ascii="Arial" w:hAnsi="Arial" w:cs="Arial"/>
        </w:rPr>
        <w:t xml:space="preserve"> </w:t>
      </w:r>
      <w:r w:rsidRPr="00820D0B">
        <w:rPr>
          <w:rFonts w:ascii="Arial" w:hAnsi="Arial" w:cs="Arial"/>
          <w:bCs/>
        </w:rPr>
        <w:t>que establece la dist</w:t>
      </w:r>
      <w:r w:rsidRPr="00820D0B">
        <w:rPr>
          <w:rFonts w:ascii="Arial" w:hAnsi="Arial" w:cs="Arial"/>
        </w:rPr>
        <w:t>ri</w:t>
      </w:r>
      <w:r w:rsidRPr="00820D0B">
        <w:rPr>
          <w:rFonts w:ascii="Arial" w:hAnsi="Arial" w:cs="Arial"/>
          <w:bCs/>
        </w:rPr>
        <w:t xml:space="preserve">bución por tiempo </w:t>
      </w:r>
      <w:r w:rsidRPr="00820D0B">
        <w:rPr>
          <w:rFonts w:ascii="Arial" w:hAnsi="Arial" w:cs="Arial"/>
        </w:rPr>
        <w:t xml:space="preserve">de consumo, los grupos </w:t>
      </w:r>
      <w:r w:rsidRPr="00820D0B">
        <w:rPr>
          <w:rFonts w:ascii="Arial" w:hAnsi="Arial" w:cs="Arial"/>
          <w:bCs/>
        </w:rPr>
        <w:t xml:space="preserve">de alimentos, las cantidades </w:t>
      </w:r>
      <w:r w:rsidRPr="00820D0B">
        <w:rPr>
          <w:rFonts w:ascii="Arial" w:hAnsi="Arial" w:cs="Arial"/>
        </w:rPr>
        <w:t>en crudo (peso bruto y peso neto), porción en servido, la frecuencia de oferta semanal, el aporte y adecuación nutricional de energía y nutrientes establecidos para cada grupo de edad.</w:t>
      </w:r>
    </w:p>
    <w:p w14:paraId="09A06D76" w14:textId="4260879B" w:rsidR="00820D0B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  <w:bCs/>
          <w:iCs/>
        </w:rPr>
        <w:t xml:space="preserve">Ciclo de menús: </w:t>
      </w:r>
      <w:r w:rsidRPr="00820D0B">
        <w:rPr>
          <w:rFonts w:ascii="Arial" w:hAnsi="Arial" w:cs="Arial"/>
        </w:rPr>
        <w:t xml:space="preserve">corresponde al conjunto de menús diarios, derivados de una minuta patrón, que se establece para un número determinado de días y que se repite a lo largo de un periodo. Para efectos del </w:t>
      </w:r>
      <w:proofErr w:type="spellStart"/>
      <w:r w:rsidRPr="00820D0B">
        <w:rPr>
          <w:rFonts w:ascii="Arial" w:hAnsi="Arial" w:cs="Arial"/>
        </w:rPr>
        <w:t>pae</w:t>
      </w:r>
      <w:proofErr w:type="spellEnd"/>
      <w:r w:rsidRPr="00820D0B">
        <w:rPr>
          <w:rFonts w:ascii="Arial" w:hAnsi="Arial" w:cs="Arial"/>
        </w:rPr>
        <w:t xml:space="preserve"> corresponde a 20 menús.</w:t>
      </w:r>
    </w:p>
    <w:p w14:paraId="6A93F7D2" w14:textId="6CB1C571" w:rsidR="00820D0B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  <w:bCs/>
          <w:iCs/>
        </w:rPr>
        <w:t>Complemento alimentario:</w:t>
      </w:r>
      <w:r w:rsidRPr="00820D0B">
        <w:rPr>
          <w:rFonts w:ascii="Arial" w:hAnsi="Arial" w:cs="Arial"/>
          <w:b/>
          <w:bCs/>
          <w:i/>
          <w:iCs/>
        </w:rPr>
        <w:t xml:space="preserve"> </w:t>
      </w:r>
      <w:r w:rsidRPr="00820D0B">
        <w:rPr>
          <w:rFonts w:ascii="Arial" w:hAnsi="Arial" w:cs="Arial"/>
        </w:rPr>
        <w:t>es la ración de alimentos que se va a suministrar a los titulares de derecho, que cubre un porcentaje del valor calórico total de las recomendaciones diarias de energía y nutrientes por grupo de edad y tipo de complemento; como su nombre lo indica complementa la alimentación que los beneficiarios reciben en su hogar.</w:t>
      </w:r>
    </w:p>
    <w:p w14:paraId="499716B8" w14:textId="72730909" w:rsidR="00820D0B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820D0B">
        <w:rPr>
          <w:rFonts w:ascii="Arial" w:hAnsi="Arial" w:cs="Arial"/>
          <w:b/>
          <w:bCs/>
        </w:rPr>
        <w:t>Complemento alimentario jornada mañana/jo</w:t>
      </w:r>
      <w:r w:rsidRPr="00820D0B">
        <w:rPr>
          <w:rFonts w:ascii="Arial" w:hAnsi="Arial" w:cs="Arial"/>
          <w:b/>
        </w:rPr>
        <w:t>rn</w:t>
      </w:r>
      <w:r w:rsidRPr="00820D0B">
        <w:rPr>
          <w:rFonts w:ascii="Arial" w:hAnsi="Arial" w:cs="Arial"/>
          <w:b/>
          <w:bCs/>
        </w:rPr>
        <w:t xml:space="preserve">ada tarde: </w:t>
      </w:r>
      <w:r w:rsidRPr="00820D0B">
        <w:rPr>
          <w:rFonts w:ascii="Arial" w:hAnsi="Arial" w:cs="Arial"/>
          <w:bCs/>
        </w:rPr>
        <w:t>debe aportar mínimo el 20% de las recomendaciones diarias de energía y nutrientes, según grupo de edad, establecido en la resolución 3803 de 2016, expedida por el ministe</w:t>
      </w:r>
      <w:r w:rsidRPr="00820D0B">
        <w:rPr>
          <w:rFonts w:ascii="Arial" w:hAnsi="Arial" w:cs="Arial"/>
        </w:rPr>
        <w:t>ri</w:t>
      </w:r>
      <w:r w:rsidRPr="00820D0B">
        <w:rPr>
          <w:rFonts w:ascii="Arial" w:hAnsi="Arial" w:cs="Arial"/>
          <w:bCs/>
        </w:rPr>
        <w:t>o de salud y protección social.</w:t>
      </w:r>
    </w:p>
    <w:p w14:paraId="444F6C1B" w14:textId="11FB1446" w:rsidR="00820D0B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  <w:bCs/>
        </w:rPr>
        <w:t xml:space="preserve">Complemento alimentario almuerzo: </w:t>
      </w:r>
      <w:r w:rsidRPr="00820D0B">
        <w:rPr>
          <w:rFonts w:ascii="Arial" w:hAnsi="Arial" w:cs="Arial"/>
          <w:bCs/>
        </w:rPr>
        <w:t>debe apo</w:t>
      </w:r>
      <w:r w:rsidRPr="00820D0B">
        <w:rPr>
          <w:rFonts w:ascii="Arial" w:hAnsi="Arial" w:cs="Arial"/>
        </w:rPr>
        <w:t>rt</w:t>
      </w:r>
      <w:r w:rsidRPr="00820D0B">
        <w:rPr>
          <w:rFonts w:ascii="Arial" w:hAnsi="Arial" w:cs="Arial"/>
          <w:bCs/>
        </w:rPr>
        <w:t xml:space="preserve">ar mínimo el 30% de las recomendaciones dianas de energía y nutrientes, </w:t>
      </w:r>
      <w:r w:rsidRPr="00820D0B">
        <w:rPr>
          <w:rFonts w:ascii="Arial" w:hAnsi="Arial" w:cs="Arial"/>
        </w:rPr>
        <w:t>según grupo de edad.</w:t>
      </w:r>
    </w:p>
    <w:p w14:paraId="35F32ACA" w14:textId="4F6B6E5F" w:rsidR="00820D0B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Ración industrializada:</w:t>
      </w:r>
      <w:r w:rsidRPr="00820D0B">
        <w:rPr>
          <w:rFonts w:ascii="Arial" w:hAnsi="Arial" w:cs="Arial"/>
        </w:rPr>
        <w:t xml:space="preserve"> debe aportar mínimo el 20% de las recomendaciones dianas de energía y nutrientes, según grupo de edad.</w:t>
      </w:r>
    </w:p>
    <w:p w14:paraId="4CBD5F33" w14:textId="358B5877" w:rsidR="00820D0B" w:rsidRPr="00820D0B" w:rsidRDefault="00C17B3B" w:rsidP="00C17B3B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Ración industrializada temporal:</w:t>
      </w:r>
      <w:r w:rsidRPr="00820D0B">
        <w:rPr>
          <w:rFonts w:ascii="Arial" w:hAnsi="Arial" w:cs="Arial"/>
        </w:rPr>
        <w:t xml:space="preserve"> debe aportar mínimo el 20% de las recomendaciones dianas de energía y nutrientes, según grupo de edad.</w:t>
      </w:r>
    </w:p>
    <w:p w14:paraId="6C66CC94" w14:textId="13D1A342" w:rsidR="00820D0B" w:rsidRPr="00820D0B" w:rsidRDefault="00C17B3B" w:rsidP="00C1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  <w:bCs/>
        </w:rPr>
        <w:t xml:space="preserve">Recomendaciones de ingesta de energía y nutrientes - </w:t>
      </w:r>
      <w:proofErr w:type="spellStart"/>
      <w:r w:rsidRPr="00820D0B">
        <w:rPr>
          <w:rFonts w:ascii="Arial" w:hAnsi="Arial" w:cs="Arial"/>
          <w:b/>
          <w:bCs/>
        </w:rPr>
        <w:t>rien</w:t>
      </w:r>
      <w:proofErr w:type="spellEnd"/>
      <w:r w:rsidRPr="00820D0B">
        <w:rPr>
          <w:rFonts w:ascii="Arial" w:hAnsi="Arial" w:cs="Arial"/>
          <w:b/>
          <w:bCs/>
        </w:rPr>
        <w:t xml:space="preserve">: </w:t>
      </w:r>
      <w:r w:rsidRPr="00820D0B">
        <w:rPr>
          <w:rFonts w:ascii="Arial" w:hAnsi="Arial" w:cs="Arial"/>
        </w:rPr>
        <w:t>estimaciones cuantitativas de la ingesta de energía y nutrientes que se emplean en la planeación y evaluación de dietas para personas aparentemente sanas.</w:t>
      </w:r>
    </w:p>
    <w:p w14:paraId="61B7E658" w14:textId="4258FF86" w:rsidR="00820D0B" w:rsidRPr="00820D0B" w:rsidRDefault="00C17B3B" w:rsidP="00C1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Nutriente:</w:t>
      </w:r>
      <w:r w:rsidRPr="00820D0B">
        <w:rPr>
          <w:rFonts w:ascii="Arial" w:hAnsi="Arial" w:cs="Arial"/>
        </w:rPr>
        <w:t xml:space="preserve"> conforme con el artículo 3 de la resolución 333 de 2011, se entiende como cualquier sustancia química consumida normalmente como componente de un alimento que aporta energía, o es necesaria para el crecimiento, el desarrollo y/o el mantenimiento de la salud, o cuya carencia hará que se produzcan cambios químicos o fisiológicos característicos.</w:t>
      </w:r>
    </w:p>
    <w:p w14:paraId="6B02FC88" w14:textId="06530DB0" w:rsidR="00820D0B" w:rsidRPr="00820D0B" w:rsidRDefault="00C17B3B" w:rsidP="00C1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Macronutrientes</w:t>
      </w:r>
      <w:r w:rsidRPr="00820D0B">
        <w:rPr>
          <w:rFonts w:ascii="Arial" w:hAnsi="Arial" w:cs="Arial"/>
        </w:rPr>
        <w:t>: también pueden ser llamados nutrientes proveedores de energía. La energía se mide en calorías y es esencial para el crecimiento, reparación y desarrollo de nuevos tejidos, conducción de impulsos nerviosos y regulación de procesos corporales. En esta categoría se incluyen los carbohidratos, las grasas y las proteínas.</w:t>
      </w:r>
    </w:p>
    <w:p w14:paraId="23D29C40" w14:textId="3E95DFB3" w:rsidR="00820D0B" w:rsidRPr="00820D0B" w:rsidRDefault="00C17B3B" w:rsidP="00C1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lastRenderedPageBreak/>
        <w:t xml:space="preserve">Caloría </w:t>
      </w:r>
      <w:proofErr w:type="spellStart"/>
      <w:r w:rsidRPr="00820D0B">
        <w:rPr>
          <w:rFonts w:ascii="Arial" w:hAnsi="Arial" w:cs="Arial"/>
          <w:b/>
        </w:rPr>
        <w:t>ó</w:t>
      </w:r>
      <w:proofErr w:type="spellEnd"/>
      <w:r w:rsidRPr="00820D0B">
        <w:rPr>
          <w:rFonts w:ascii="Arial" w:hAnsi="Arial" w:cs="Arial"/>
          <w:b/>
        </w:rPr>
        <w:t xml:space="preserve"> kilocaloría: </w:t>
      </w:r>
      <w:r w:rsidRPr="00820D0B">
        <w:rPr>
          <w:rFonts w:ascii="Arial" w:hAnsi="Arial" w:cs="Arial"/>
        </w:rPr>
        <w:t>es una o varias unidades de energía, encontradas en un alimento y que están representadas o determinadas por la cantidad de proteína, carbohidratos o grasa que este contenga.</w:t>
      </w:r>
    </w:p>
    <w:p w14:paraId="61C11765" w14:textId="05BC7158" w:rsidR="00820D0B" w:rsidRPr="00820D0B" w:rsidRDefault="00C17B3B" w:rsidP="00C17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820D0B">
        <w:rPr>
          <w:rFonts w:ascii="Arial" w:hAnsi="Arial" w:cs="Arial"/>
        </w:rPr>
        <w:t>La cantidad de energía que aportan los macronutrientes es:</w:t>
      </w:r>
    </w:p>
    <w:p w14:paraId="47AB56DB" w14:textId="3893AE5E" w:rsidR="00820D0B" w:rsidRPr="00820D0B" w:rsidRDefault="00C17B3B" w:rsidP="00C17B3B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820D0B">
        <w:rPr>
          <w:rFonts w:ascii="Arial" w:hAnsi="Arial" w:cs="Arial"/>
        </w:rPr>
        <w:t>Carbohidratos = 4 kilocalorías por gramo.</w:t>
      </w:r>
    </w:p>
    <w:p w14:paraId="132FEF3F" w14:textId="34FC9954" w:rsidR="00820D0B" w:rsidRPr="00820D0B" w:rsidRDefault="00C17B3B" w:rsidP="00C17B3B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820D0B">
        <w:rPr>
          <w:rFonts w:ascii="Arial" w:hAnsi="Arial" w:cs="Arial"/>
        </w:rPr>
        <w:t>Proteínas = 4 kilocalorías por gramo.</w:t>
      </w:r>
    </w:p>
    <w:p w14:paraId="00515F70" w14:textId="79273B62" w:rsidR="00820D0B" w:rsidRPr="00820D0B" w:rsidRDefault="00C17B3B" w:rsidP="00C17B3B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820D0B">
        <w:rPr>
          <w:rFonts w:ascii="Arial" w:hAnsi="Arial" w:cs="Arial"/>
        </w:rPr>
        <w:t>Grasas = 9 kilocalorías por gramo</w:t>
      </w:r>
    </w:p>
    <w:p w14:paraId="061B83C2" w14:textId="50F9E44A" w:rsidR="00820D0B" w:rsidRPr="00820D0B" w:rsidRDefault="00C17B3B" w:rsidP="00C1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 xml:space="preserve">Micronutrientes: </w:t>
      </w:r>
      <w:r w:rsidRPr="00820D0B">
        <w:rPr>
          <w:rFonts w:ascii="Arial" w:hAnsi="Arial" w:cs="Arial"/>
        </w:rPr>
        <w:t>incluyen los minerales y las vitaminas. A diferencia de los macronutrientes, el organismo los requiere en cantidades muy pequeñas. Estos son extremadamente importantes para la actividad normal del cuerpo y su función principal es la de facilitar muchas reacciones químicas que ocurren en el mismo. Los micronutrientes no le proporcionan energía al cuerpo.</w:t>
      </w:r>
      <w:r w:rsidRPr="00820D0B">
        <w:rPr>
          <w:rFonts w:ascii="Arial" w:hAnsi="Arial" w:cs="Arial"/>
          <w:color w:val="636654"/>
          <w:shd w:val="clear" w:color="auto" w:fill="FFFFFF"/>
        </w:rPr>
        <w:t xml:space="preserve"> </w:t>
      </w:r>
    </w:p>
    <w:p w14:paraId="059C266D" w14:textId="0EBAA69C" w:rsidR="00820D0B" w:rsidRPr="00820D0B" w:rsidRDefault="00C17B3B" w:rsidP="00C1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</w:rPr>
        <w:t>Fibra:</w:t>
      </w:r>
      <w:r w:rsidRPr="00820D0B">
        <w:rPr>
          <w:rFonts w:ascii="Arial" w:hAnsi="Arial" w:cs="Arial"/>
        </w:rPr>
        <w:t xml:space="preserve"> </w:t>
      </w:r>
      <w:r w:rsidRPr="00820D0B">
        <w:rPr>
          <w:rFonts w:ascii="Arial" w:hAnsi="Arial" w:cs="Arial"/>
          <w:lang w:val="es-ES"/>
        </w:rPr>
        <w:t xml:space="preserve">son carbohidratos, análogos de carbohidratos y lignina, que no son hidrolizados por las enzimas endógenas del tracto gastrointestinal de los humanos. La fibra </w:t>
      </w:r>
      <w:proofErr w:type="spellStart"/>
      <w:r w:rsidRPr="00820D0B">
        <w:rPr>
          <w:rFonts w:ascii="Arial" w:hAnsi="Arial" w:cs="Arial"/>
          <w:lang w:val="es-ES"/>
        </w:rPr>
        <w:t>dietaria</w:t>
      </w:r>
      <w:proofErr w:type="spellEnd"/>
      <w:r w:rsidRPr="00820D0B">
        <w:rPr>
          <w:rFonts w:ascii="Arial" w:hAnsi="Arial" w:cs="Arial"/>
          <w:lang w:val="es-ES"/>
        </w:rPr>
        <w:t xml:space="preserve"> puede ser soluble o insoluble.</w:t>
      </w:r>
    </w:p>
    <w:p w14:paraId="501AC8BC" w14:textId="092EDE42" w:rsidR="00820D0B" w:rsidRPr="00820D0B" w:rsidRDefault="00C17B3B" w:rsidP="00C17B3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820D0B">
        <w:rPr>
          <w:rFonts w:ascii="Arial" w:hAnsi="Arial" w:cs="Arial"/>
          <w:b/>
          <w:bCs/>
        </w:rPr>
        <w:t xml:space="preserve">Adecuación nutricional de un nutriente: </w:t>
      </w:r>
      <w:r w:rsidRPr="00820D0B">
        <w:rPr>
          <w:rFonts w:ascii="Arial" w:hAnsi="Arial" w:cs="Arial"/>
        </w:rPr>
        <w:t>es el nivel de ingesta de un nutriente que cubre las necesidades de un individuo de acuerdo a un criterio definido para el mismo, teniendo en cuenta el período de vida, grupo de edad, género, condición fisiológica y que no genera exceso ni deficiencia.</w:t>
      </w:r>
    </w:p>
    <w:p w14:paraId="72BD242F" w14:textId="3C52F520" w:rsidR="00820D0B" w:rsidRPr="00820D0B" w:rsidRDefault="00C17B3B" w:rsidP="00C17B3B">
      <w:pPr>
        <w:pStyle w:val="Default"/>
        <w:numPr>
          <w:ilvl w:val="0"/>
          <w:numId w:val="1"/>
        </w:numPr>
        <w:ind w:left="360"/>
        <w:contextualSpacing/>
        <w:jc w:val="both"/>
        <w:rPr>
          <w:color w:val="auto"/>
          <w:sz w:val="22"/>
          <w:szCs w:val="22"/>
        </w:rPr>
      </w:pPr>
      <w:r w:rsidRPr="00820D0B">
        <w:rPr>
          <w:b/>
          <w:sz w:val="22"/>
          <w:szCs w:val="22"/>
        </w:rPr>
        <w:t>Promedio aporte nutricional semanal</w:t>
      </w:r>
      <w:r w:rsidRPr="00820D0B">
        <w:rPr>
          <w:sz w:val="22"/>
          <w:szCs w:val="22"/>
        </w:rPr>
        <w:t xml:space="preserve">: es el resultado obtenido al sumar el aporte de calorías, proteínas, grasa, carbohidratos, hierro y calcio por modalidad y escolaridad de los menús de la semana 1 (menú 1,2,3,4,5), semana 2 (menú 6,7,8,9,10), semana 3 (menú 11,12,13,14,15)  y semana 4 (menú 16,17,18,19,20) y comparar el valor obtenido para cada nutriente con </w:t>
      </w:r>
      <w:r w:rsidRPr="00820D0B">
        <w:rPr>
          <w:bCs/>
          <w:sz w:val="22"/>
          <w:szCs w:val="22"/>
        </w:rPr>
        <w:t xml:space="preserve">las recomendaciones diarias de energía y nutrientes para los grupos </w:t>
      </w:r>
      <w:r w:rsidRPr="00820D0B">
        <w:rPr>
          <w:bCs/>
          <w:color w:val="auto"/>
          <w:sz w:val="22"/>
          <w:szCs w:val="22"/>
        </w:rPr>
        <w:t xml:space="preserve">poblacionales </w:t>
      </w:r>
      <w:r w:rsidRPr="00820D0B">
        <w:rPr>
          <w:sz w:val="22"/>
          <w:szCs w:val="22"/>
        </w:rPr>
        <w:t>por modalidad y escolaridad.</w:t>
      </w:r>
    </w:p>
    <w:p w14:paraId="2896E658" w14:textId="77777777" w:rsidR="00C17B3B" w:rsidRPr="00C17B3B" w:rsidRDefault="00C17B3B" w:rsidP="00C17B3B">
      <w:pPr>
        <w:pStyle w:val="Default"/>
        <w:numPr>
          <w:ilvl w:val="0"/>
          <w:numId w:val="1"/>
        </w:numPr>
        <w:ind w:left="360"/>
        <w:contextualSpacing/>
        <w:jc w:val="both"/>
        <w:rPr>
          <w:color w:val="auto"/>
          <w:sz w:val="22"/>
          <w:szCs w:val="22"/>
        </w:rPr>
      </w:pPr>
      <w:r w:rsidRPr="00820D0B">
        <w:rPr>
          <w:b/>
          <w:sz w:val="22"/>
          <w:szCs w:val="22"/>
        </w:rPr>
        <w:t>Promedio aporte nutricional mensual:</w:t>
      </w:r>
      <w:r w:rsidRPr="00820D0B">
        <w:rPr>
          <w:sz w:val="22"/>
          <w:szCs w:val="22"/>
        </w:rPr>
        <w:t xml:space="preserve"> es el resultado obtenido al sumar el aporte de calorías, proteínas, grasa, carbohidratos, hierro y calcio por modalidad y escolaridad de los  20 menús y comparar el valor obtenido para cada nutriente con </w:t>
      </w:r>
      <w:r w:rsidRPr="00820D0B">
        <w:rPr>
          <w:bCs/>
          <w:sz w:val="22"/>
          <w:szCs w:val="22"/>
        </w:rPr>
        <w:t xml:space="preserve">las recomendaciones diarias de energía y nutrientes para los grupos </w:t>
      </w:r>
      <w:r w:rsidRPr="00820D0B">
        <w:rPr>
          <w:bCs/>
          <w:color w:val="auto"/>
          <w:sz w:val="22"/>
          <w:szCs w:val="22"/>
        </w:rPr>
        <w:t xml:space="preserve">poblacionales </w:t>
      </w:r>
      <w:r w:rsidRPr="00820D0B">
        <w:rPr>
          <w:sz w:val="22"/>
          <w:szCs w:val="22"/>
        </w:rPr>
        <w:t>por modalidad y escolaridad.</w:t>
      </w:r>
    </w:p>
    <w:p w14:paraId="455AC343" w14:textId="77777777" w:rsidR="00C17B3B" w:rsidRPr="00C17B3B" w:rsidRDefault="00C17B3B" w:rsidP="00C17B3B">
      <w:pPr>
        <w:pStyle w:val="Default"/>
        <w:numPr>
          <w:ilvl w:val="0"/>
          <w:numId w:val="1"/>
        </w:numPr>
        <w:ind w:left="360"/>
        <w:contextualSpacing/>
        <w:jc w:val="both"/>
        <w:rPr>
          <w:color w:val="auto"/>
          <w:sz w:val="22"/>
          <w:szCs w:val="22"/>
        </w:rPr>
      </w:pPr>
      <w:r w:rsidRPr="00C17B3B">
        <w:rPr>
          <w:rFonts w:eastAsia="Arial"/>
          <w:b/>
        </w:rPr>
        <w:t>CCP:</w:t>
      </w:r>
      <w:r w:rsidRPr="00C17B3B">
        <w:rPr>
          <w:rFonts w:eastAsia="Arial"/>
        </w:rPr>
        <w:t xml:space="preserve"> Consejo Comunal o </w:t>
      </w:r>
      <w:proofErr w:type="spellStart"/>
      <w:r w:rsidRPr="00C17B3B">
        <w:rPr>
          <w:rFonts w:eastAsia="Arial"/>
        </w:rPr>
        <w:t>Corregimental</w:t>
      </w:r>
      <w:proofErr w:type="spellEnd"/>
      <w:r w:rsidRPr="00C17B3B">
        <w:rPr>
          <w:rFonts w:eastAsia="Arial"/>
        </w:rPr>
        <w:t xml:space="preserve"> de Planeación </w:t>
      </w:r>
    </w:p>
    <w:p w14:paraId="4AA798ED" w14:textId="77777777" w:rsidR="00C17B3B" w:rsidRPr="00C17B3B" w:rsidRDefault="00C17B3B" w:rsidP="00C17B3B">
      <w:pPr>
        <w:pStyle w:val="Default"/>
        <w:numPr>
          <w:ilvl w:val="0"/>
          <w:numId w:val="1"/>
        </w:numPr>
        <w:ind w:left="360"/>
        <w:contextualSpacing/>
        <w:jc w:val="both"/>
        <w:rPr>
          <w:color w:val="auto"/>
          <w:sz w:val="22"/>
          <w:szCs w:val="22"/>
        </w:rPr>
      </w:pPr>
      <w:r w:rsidRPr="00C17B3B">
        <w:rPr>
          <w:rFonts w:eastAsia="Arial"/>
          <w:b/>
        </w:rPr>
        <w:t>SUB:</w:t>
      </w:r>
      <w:r w:rsidRPr="00C17B3B">
        <w:rPr>
          <w:rFonts w:eastAsia="Arial"/>
        </w:rPr>
        <w:t xml:space="preserve"> Sistema Único de Participantes </w:t>
      </w:r>
    </w:p>
    <w:p w14:paraId="6AB7279C" w14:textId="77777777" w:rsidR="00C17B3B" w:rsidRPr="00C17B3B" w:rsidRDefault="00C17B3B" w:rsidP="00C17B3B">
      <w:pPr>
        <w:pStyle w:val="Default"/>
        <w:numPr>
          <w:ilvl w:val="0"/>
          <w:numId w:val="1"/>
        </w:numPr>
        <w:ind w:left="360"/>
        <w:contextualSpacing/>
        <w:jc w:val="both"/>
        <w:rPr>
          <w:color w:val="auto"/>
          <w:sz w:val="22"/>
          <w:szCs w:val="22"/>
        </w:rPr>
      </w:pPr>
      <w:r w:rsidRPr="00C17B3B">
        <w:rPr>
          <w:rFonts w:eastAsia="Arial"/>
          <w:b/>
        </w:rPr>
        <w:t>ESAN:</w:t>
      </w:r>
      <w:r w:rsidRPr="00C17B3B">
        <w:rPr>
          <w:rFonts w:eastAsia="Arial"/>
        </w:rPr>
        <w:t xml:space="preserve"> Equipo de Seguridad Alimentaria y Nutricional </w:t>
      </w:r>
    </w:p>
    <w:p w14:paraId="20899B4A" w14:textId="77777777" w:rsidR="00820D0B" w:rsidRPr="00820D0B" w:rsidRDefault="00820D0B" w:rsidP="00C17B3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247DC201" w14:textId="77777777" w:rsidR="00820D0B" w:rsidRPr="00820D0B" w:rsidRDefault="00820D0B" w:rsidP="00C17B3B">
      <w:pPr>
        <w:pStyle w:val="Prrafodelista"/>
        <w:spacing w:line="240" w:lineRule="auto"/>
        <w:jc w:val="both"/>
        <w:rPr>
          <w:rFonts w:ascii="Arial" w:hAnsi="Arial" w:cs="Arial"/>
        </w:rPr>
      </w:pPr>
    </w:p>
    <w:sectPr w:rsidR="00820D0B" w:rsidRPr="00820D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60225"/>
    <w:multiLevelType w:val="hybridMultilevel"/>
    <w:tmpl w:val="2708B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01"/>
    <w:rsid w:val="00152503"/>
    <w:rsid w:val="00173801"/>
    <w:rsid w:val="004A4CA3"/>
    <w:rsid w:val="004A7F7F"/>
    <w:rsid w:val="005916A3"/>
    <w:rsid w:val="0068516F"/>
    <w:rsid w:val="007071CE"/>
    <w:rsid w:val="007F4885"/>
    <w:rsid w:val="00820D0B"/>
    <w:rsid w:val="00952F10"/>
    <w:rsid w:val="00996B2E"/>
    <w:rsid w:val="00B44EE3"/>
    <w:rsid w:val="00B716CB"/>
    <w:rsid w:val="00B77A7A"/>
    <w:rsid w:val="00C17B3B"/>
    <w:rsid w:val="00C90349"/>
    <w:rsid w:val="00D45162"/>
    <w:rsid w:val="00D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5BF4"/>
  <w15:docId w15:val="{8747FEB1-55E1-4F3B-B165-5CCAE11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801"/>
    <w:pPr>
      <w:ind w:left="720"/>
      <w:contextualSpacing/>
    </w:pPr>
  </w:style>
  <w:style w:type="paragraph" w:customStyle="1" w:styleId="Default">
    <w:name w:val="Default"/>
    <w:rsid w:val="00820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1453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Augusto Trujillo Morales</cp:lastModifiedBy>
  <cp:revision>4</cp:revision>
  <dcterms:created xsi:type="dcterms:W3CDTF">2020-09-21T14:56:00Z</dcterms:created>
  <dcterms:modified xsi:type="dcterms:W3CDTF">2020-09-21T15:07:00Z</dcterms:modified>
</cp:coreProperties>
</file>