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83F86" w14:textId="77777777" w:rsidR="00C84CB7" w:rsidRPr="00467F44" w:rsidRDefault="00C67A7D">
      <w:pPr>
        <w:jc w:val="center"/>
        <w:rPr>
          <w:rFonts w:ascii="Arial" w:eastAsia="Arial" w:hAnsi="Arial" w:cs="Arial"/>
          <w:b/>
        </w:rPr>
      </w:pPr>
      <w:r w:rsidRPr="00467F44">
        <w:rPr>
          <w:rFonts w:ascii="Arial" w:eastAsia="Arial" w:hAnsi="Arial" w:cs="Arial"/>
        </w:rPr>
        <w:t>Decreto</w:t>
      </w:r>
      <w:r w:rsidRPr="00467F44">
        <w:rPr>
          <w:rFonts w:ascii="Arial" w:eastAsia="Arial" w:hAnsi="Arial" w:cs="Arial"/>
          <w:b/>
        </w:rPr>
        <w:t xml:space="preserve"> </w:t>
      </w:r>
      <w:r w:rsidR="00467F44" w:rsidRPr="00467F44">
        <w:rPr>
          <w:rFonts w:ascii="Arial" w:hAnsi="Arial" w:cs="Arial"/>
        </w:rPr>
        <w:t>1720068542</w:t>
      </w:r>
      <w:r w:rsidRPr="00467F44">
        <w:rPr>
          <w:rFonts w:ascii="Arial" w:eastAsia="Arial" w:hAnsi="Arial" w:cs="Arial"/>
          <w:color w:val="000000"/>
          <w:highlight w:val="white"/>
        </w:rPr>
        <w:t xml:space="preserve"> de 2022</w:t>
      </w:r>
    </w:p>
    <w:p w14:paraId="1FA9B679" w14:textId="77777777" w:rsidR="00C84CB7" w:rsidRDefault="00C84CB7">
      <w:pPr>
        <w:jc w:val="center"/>
        <w:rPr>
          <w:rFonts w:ascii="Arial" w:eastAsia="Arial" w:hAnsi="Arial" w:cs="Arial"/>
          <w:b/>
        </w:rPr>
      </w:pPr>
    </w:p>
    <w:p w14:paraId="4CC9FBAD" w14:textId="77777777" w:rsidR="00C84CB7" w:rsidRDefault="00C84CB7">
      <w:pPr>
        <w:jc w:val="center"/>
        <w:rPr>
          <w:rFonts w:ascii="Arial" w:eastAsia="Arial" w:hAnsi="Arial" w:cs="Arial"/>
          <w:b/>
        </w:rPr>
      </w:pPr>
    </w:p>
    <w:p w14:paraId="7BC8ECC4" w14:textId="77777777" w:rsidR="00C84CB7" w:rsidRDefault="00C67A7D">
      <w:pPr>
        <w:jc w:val="center"/>
        <w:rPr>
          <w:rFonts w:ascii="Arial" w:eastAsia="Arial" w:hAnsi="Arial" w:cs="Arial"/>
          <w:b/>
          <w:i/>
        </w:rPr>
      </w:pPr>
      <w:r>
        <w:rPr>
          <w:rFonts w:ascii="Arial" w:eastAsia="Arial" w:hAnsi="Arial" w:cs="Arial"/>
          <w:b/>
          <w:i/>
        </w:rPr>
        <w:t>“</w:t>
      </w:r>
      <w:r>
        <w:rPr>
          <w:rFonts w:ascii="Arial" w:eastAsia="Arial" w:hAnsi="Arial" w:cs="Arial"/>
          <w:i/>
        </w:rPr>
        <w:t>Por medio del cual se modifica parcialmente y se adiciona el Decreto 0096 de enero 24 de 2022</w:t>
      </w:r>
      <w:r>
        <w:rPr>
          <w:rFonts w:ascii="Arial" w:eastAsia="Arial" w:hAnsi="Arial" w:cs="Arial"/>
          <w:b/>
          <w:i/>
        </w:rPr>
        <w:t>”</w:t>
      </w:r>
    </w:p>
    <w:p w14:paraId="663021FF" w14:textId="77777777" w:rsidR="00C84CB7" w:rsidRDefault="00C84CB7">
      <w:pPr>
        <w:jc w:val="center"/>
        <w:rPr>
          <w:rFonts w:ascii="Arial" w:eastAsia="Arial" w:hAnsi="Arial" w:cs="Arial"/>
          <w:b/>
        </w:rPr>
      </w:pPr>
    </w:p>
    <w:p w14:paraId="5F952B25" w14:textId="77777777" w:rsidR="00C84CB7" w:rsidRDefault="00C84CB7">
      <w:pPr>
        <w:jc w:val="center"/>
        <w:rPr>
          <w:rFonts w:ascii="Arial" w:eastAsia="Arial" w:hAnsi="Arial" w:cs="Arial"/>
          <w:b/>
        </w:rPr>
      </w:pPr>
    </w:p>
    <w:p w14:paraId="78A51FC7" w14:textId="644D8CB2" w:rsidR="00C84CB7" w:rsidRDefault="00C67A7D">
      <w:pPr>
        <w:jc w:val="center"/>
        <w:rPr>
          <w:rFonts w:ascii="Arial" w:eastAsia="Arial" w:hAnsi="Arial" w:cs="Arial"/>
          <w:b/>
        </w:rPr>
      </w:pPr>
      <w:r>
        <w:rPr>
          <w:rFonts w:ascii="Arial" w:eastAsia="Arial" w:hAnsi="Arial" w:cs="Arial"/>
          <w:b/>
        </w:rPr>
        <w:t>EL ALCALDE DEL DISTRITO ESPECIAL DE CIENCIA, TECNOLOGÍA E INNOVACIÓN DE MEDELLÍN</w:t>
      </w:r>
    </w:p>
    <w:p w14:paraId="71C1005D" w14:textId="77777777" w:rsidR="00C84CB7" w:rsidRDefault="00C84CB7">
      <w:pPr>
        <w:jc w:val="center"/>
        <w:rPr>
          <w:rFonts w:ascii="Arial" w:eastAsia="Arial" w:hAnsi="Arial" w:cs="Arial"/>
          <w:b/>
        </w:rPr>
      </w:pPr>
    </w:p>
    <w:p w14:paraId="1437DF5B" w14:textId="77777777" w:rsidR="00C84CB7" w:rsidRDefault="00C84CB7">
      <w:pPr>
        <w:jc w:val="both"/>
        <w:rPr>
          <w:rFonts w:ascii="Arial" w:eastAsia="Arial" w:hAnsi="Arial" w:cs="Arial"/>
        </w:rPr>
      </w:pPr>
    </w:p>
    <w:p w14:paraId="3E806B5E" w14:textId="77777777" w:rsidR="00C84CB7" w:rsidRDefault="00C67A7D">
      <w:pPr>
        <w:jc w:val="both"/>
        <w:rPr>
          <w:rFonts w:ascii="Arial" w:eastAsia="Arial" w:hAnsi="Arial" w:cs="Arial"/>
        </w:rPr>
      </w:pPr>
      <w:r>
        <w:rPr>
          <w:rFonts w:ascii="Arial" w:eastAsia="Arial" w:hAnsi="Arial" w:cs="Arial"/>
        </w:rPr>
        <w:t xml:space="preserve">En ejercicio de las atribuciones constitucionales y legales, en especial las conferidas por el artículo 315 de la Constitución Política de Colombia, el literal d numeral 1 del artículo 91 de la Ley 136 de 1994 modificado por el artículo 29 de la Ley 1551 de 2012, los numerales 7.1 y 7.5 del artículo 7 de la Ley 715 de 2001, el artículo 184 de la Ley 115 de 1994, y el acto legislativo 01 de 2021. </w:t>
      </w:r>
    </w:p>
    <w:p w14:paraId="5FA3CFA9" w14:textId="77777777" w:rsidR="00C84CB7" w:rsidRDefault="00C84CB7">
      <w:pPr>
        <w:jc w:val="both"/>
        <w:rPr>
          <w:rFonts w:ascii="Arial" w:eastAsia="Arial" w:hAnsi="Arial" w:cs="Arial"/>
        </w:rPr>
      </w:pPr>
    </w:p>
    <w:p w14:paraId="2A62706B" w14:textId="77777777" w:rsidR="00C84CB7" w:rsidRDefault="00C67A7D">
      <w:pPr>
        <w:jc w:val="center"/>
        <w:rPr>
          <w:rFonts w:ascii="Arial" w:eastAsia="Arial" w:hAnsi="Arial" w:cs="Arial"/>
          <w:b/>
        </w:rPr>
      </w:pPr>
      <w:r>
        <w:rPr>
          <w:rFonts w:ascii="Arial" w:eastAsia="Arial" w:hAnsi="Arial" w:cs="Arial"/>
          <w:b/>
        </w:rPr>
        <w:t>CONSIDERANDO QUE</w:t>
      </w:r>
    </w:p>
    <w:p w14:paraId="1D7F9389" w14:textId="77777777" w:rsidR="00C84CB7" w:rsidRDefault="00C84CB7">
      <w:pPr>
        <w:rPr>
          <w:rFonts w:ascii="Arial" w:eastAsia="Arial" w:hAnsi="Arial" w:cs="Arial"/>
          <w:b/>
        </w:rPr>
      </w:pPr>
    </w:p>
    <w:p w14:paraId="424BC05E" w14:textId="77777777" w:rsidR="00C84CB7" w:rsidRDefault="00C67A7D">
      <w:pPr>
        <w:jc w:val="both"/>
        <w:rPr>
          <w:rFonts w:ascii="Arial" w:eastAsia="Arial" w:hAnsi="Arial" w:cs="Arial"/>
        </w:rPr>
      </w:pPr>
      <w:r>
        <w:rPr>
          <w:rFonts w:ascii="Arial" w:eastAsia="Arial" w:hAnsi="Arial" w:cs="Arial"/>
        </w:rPr>
        <w:t>De acuerdo con el artículo 1 del Decreto 096 del 24 de enero de 2022 se crearon incentivos especiales para el fomento de la ciencia y la tecnología, dirigidos a los estudiantes incluidos en la matrícula oficial de establecimientos educativos oficiales de Medellín, sustentados en el Sistema Integrado de Matricula -SIMAT-, como instrumento de reducción de las brechas digitales; estrategia de cobertura, calidad educativa, acceso y permanencia, como garantía de los derechos de los niños, niñas y adolescentes.</w:t>
      </w:r>
    </w:p>
    <w:p w14:paraId="2D34E79C" w14:textId="77777777" w:rsidR="00C84CB7" w:rsidRDefault="00C84CB7">
      <w:pPr>
        <w:ind w:right="40"/>
        <w:jc w:val="both"/>
        <w:rPr>
          <w:rFonts w:ascii="Arial" w:eastAsia="Arial" w:hAnsi="Arial" w:cs="Arial"/>
        </w:rPr>
      </w:pPr>
    </w:p>
    <w:p w14:paraId="61A61EB1" w14:textId="77777777" w:rsidR="00C84CB7" w:rsidRDefault="00C67A7D">
      <w:pPr>
        <w:ind w:right="40"/>
        <w:jc w:val="both"/>
        <w:rPr>
          <w:rFonts w:ascii="Arial" w:eastAsia="Arial" w:hAnsi="Arial" w:cs="Arial"/>
        </w:rPr>
      </w:pPr>
      <w:r>
        <w:rPr>
          <w:rFonts w:ascii="Arial" w:eastAsia="Arial" w:hAnsi="Arial" w:cs="Arial"/>
        </w:rPr>
        <w:t xml:space="preserve">Con base en el Acuerdo Municipal 028 de 2017, se modificó el artículo 43 de 2007 y se </w:t>
      </w:r>
      <w:proofErr w:type="gramStart"/>
      <w:r>
        <w:rPr>
          <w:rFonts w:ascii="Arial" w:eastAsia="Arial" w:hAnsi="Arial" w:cs="Arial"/>
        </w:rPr>
        <w:t>actualizó</w:t>
      </w:r>
      <w:proofErr w:type="gramEnd"/>
      <w:r>
        <w:rPr>
          <w:rFonts w:ascii="Arial" w:eastAsia="Arial" w:hAnsi="Arial" w:cs="Arial"/>
        </w:rPr>
        <w:t xml:space="preserve"> el Sistema Municipal de Planeación del Municipio de Medellín, adecuándolo a las normas nacionales que regulan la planeación, el presupuesto participativo y a la modernización de la estructura administrativa; estableciendo las normas para la elaboración, aprobación, ejecución, seguimiento, evaluación y control de los instrumentos del Sistema.</w:t>
      </w:r>
    </w:p>
    <w:p w14:paraId="3CF45008" w14:textId="77777777" w:rsidR="00C84CB7" w:rsidRDefault="00C84CB7">
      <w:pPr>
        <w:ind w:right="40"/>
        <w:jc w:val="both"/>
        <w:rPr>
          <w:rFonts w:ascii="Arial" w:eastAsia="Arial" w:hAnsi="Arial" w:cs="Arial"/>
        </w:rPr>
      </w:pPr>
    </w:p>
    <w:p w14:paraId="03AF13AF" w14:textId="77777777" w:rsidR="00C84CB7" w:rsidRDefault="00C67A7D">
      <w:pPr>
        <w:ind w:right="40"/>
        <w:jc w:val="both"/>
        <w:rPr>
          <w:rFonts w:ascii="Arial" w:eastAsia="Arial" w:hAnsi="Arial" w:cs="Arial"/>
        </w:rPr>
      </w:pPr>
      <w:r>
        <w:rPr>
          <w:rFonts w:ascii="Arial" w:eastAsia="Arial" w:hAnsi="Arial" w:cs="Arial"/>
        </w:rPr>
        <w:t xml:space="preserve">En el artículo 43 </w:t>
      </w:r>
      <w:r>
        <w:rPr>
          <w:rFonts w:ascii="Arial" w:eastAsia="Arial" w:hAnsi="Arial" w:cs="Arial"/>
          <w:i/>
        </w:rPr>
        <w:t xml:space="preserve">Ibídem, </w:t>
      </w:r>
      <w:r>
        <w:rPr>
          <w:rFonts w:ascii="Arial" w:eastAsia="Arial" w:hAnsi="Arial" w:cs="Arial"/>
        </w:rPr>
        <w:t>el Alcalde en uso de sus facultades constitucionales y legales, especialmente las otorgadas por los artículos 90 y 100 de la Ley Estatutaria 1757 de 2015, estableció el procedimiento metodológico para la definir de manera participativa la orientación del presupuesto participativo, en consonancia y articulación con los objetivos y metas e implementación de los procedimientos de planeación municipal y de planeación del desarrollo local.</w:t>
      </w:r>
    </w:p>
    <w:p w14:paraId="6E92CCB4" w14:textId="77777777" w:rsidR="00C84CB7" w:rsidRDefault="00C84CB7">
      <w:pPr>
        <w:ind w:right="40"/>
        <w:jc w:val="both"/>
        <w:rPr>
          <w:rFonts w:ascii="Arial" w:eastAsia="Arial" w:hAnsi="Arial" w:cs="Arial"/>
        </w:rPr>
      </w:pPr>
    </w:p>
    <w:p w14:paraId="10C41512" w14:textId="77777777" w:rsidR="00C84CB7" w:rsidRDefault="00C67A7D">
      <w:pPr>
        <w:ind w:right="40"/>
        <w:jc w:val="both"/>
        <w:rPr>
          <w:rFonts w:ascii="Arial" w:eastAsia="Arial" w:hAnsi="Arial" w:cs="Arial"/>
          <w:color w:val="000000"/>
        </w:rPr>
      </w:pPr>
      <w:r>
        <w:rPr>
          <w:rFonts w:ascii="Arial" w:eastAsia="Arial" w:hAnsi="Arial" w:cs="Arial"/>
          <w:color w:val="000000"/>
        </w:rPr>
        <w:t>El procedimiento metodológico objeto de reglamentación, desarrollará las siguientes fases:</w:t>
      </w:r>
    </w:p>
    <w:p w14:paraId="4D691ACC" w14:textId="77777777" w:rsidR="00C84CB7" w:rsidRDefault="00C84CB7">
      <w:pPr>
        <w:ind w:right="40"/>
        <w:jc w:val="both"/>
        <w:rPr>
          <w:rFonts w:ascii="Arial" w:eastAsia="Arial" w:hAnsi="Arial" w:cs="Arial"/>
        </w:rPr>
      </w:pPr>
    </w:p>
    <w:p w14:paraId="5435D3FB" w14:textId="77777777" w:rsidR="00C84CB7" w:rsidRDefault="00C67A7D">
      <w:pPr>
        <w:pBdr>
          <w:top w:val="nil"/>
          <w:left w:val="nil"/>
          <w:bottom w:val="nil"/>
          <w:right w:val="nil"/>
          <w:between w:val="nil"/>
        </w:pBdr>
        <w:jc w:val="both"/>
        <w:rPr>
          <w:rFonts w:ascii="Arial" w:eastAsia="Arial" w:hAnsi="Arial" w:cs="Arial"/>
          <w:i/>
          <w:color w:val="000000"/>
        </w:rPr>
      </w:pPr>
      <w:r>
        <w:rPr>
          <w:rFonts w:ascii="Arial" w:eastAsia="Arial" w:hAnsi="Arial" w:cs="Arial"/>
          <w:i/>
          <w:color w:val="000000"/>
        </w:rPr>
        <w:lastRenderedPageBreak/>
        <w:t xml:space="preserve">“• Planeación Participativa: Corresponde al proceso técnico y político de construcción de acuerdos entre los actores del territorio y el Estado sobre el desarrollo local. Es prerrequisito de las siguientes fases ya que sus resultados constituyen los insumos de las demás. </w:t>
      </w:r>
    </w:p>
    <w:p w14:paraId="30123627" w14:textId="77777777" w:rsidR="00C84CB7" w:rsidRDefault="00C84CB7">
      <w:pPr>
        <w:rPr>
          <w:rFonts w:ascii="Arial" w:eastAsia="Arial" w:hAnsi="Arial" w:cs="Arial"/>
          <w:i/>
        </w:rPr>
      </w:pPr>
    </w:p>
    <w:p w14:paraId="45B43435" w14:textId="77777777" w:rsidR="00C84CB7" w:rsidRDefault="00C67A7D">
      <w:pPr>
        <w:ind w:right="40"/>
        <w:jc w:val="both"/>
        <w:rPr>
          <w:rFonts w:ascii="Arial" w:eastAsia="Arial" w:hAnsi="Arial" w:cs="Arial"/>
          <w:i/>
          <w:color w:val="000000"/>
        </w:rPr>
      </w:pPr>
      <w:r>
        <w:rPr>
          <w:rFonts w:ascii="Arial" w:eastAsia="Arial" w:hAnsi="Arial" w:cs="Arial"/>
          <w:i/>
          <w:color w:val="000000"/>
        </w:rPr>
        <w:t>• Priorización participativa: Concerniente a la definición, por parte de la ciudadanía, de los proyectos a ser financiados con los recursos de presupuesto participativo, de acuerdo con el proceso de planeación del desarrollo local, en armonía con las competencias constitucionales y legales asignadas a los entes que intervienen en la priorización participativa.</w:t>
      </w:r>
    </w:p>
    <w:p w14:paraId="2D43BE61" w14:textId="77777777" w:rsidR="00C84CB7" w:rsidRDefault="00C84CB7">
      <w:pPr>
        <w:ind w:right="40"/>
        <w:jc w:val="both"/>
        <w:rPr>
          <w:rFonts w:ascii="Arial" w:eastAsia="Arial" w:hAnsi="Arial" w:cs="Arial"/>
          <w:i/>
          <w:color w:val="000000"/>
        </w:rPr>
      </w:pPr>
    </w:p>
    <w:p w14:paraId="1AEB6303" w14:textId="77777777" w:rsidR="00C84CB7" w:rsidRDefault="00C67A7D">
      <w:pPr>
        <w:pBdr>
          <w:top w:val="nil"/>
          <w:left w:val="nil"/>
          <w:bottom w:val="nil"/>
          <w:right w:val="nil"/>
          <w:between w:val="nil"/>
        </w:pBdr>
        <w:jc w:val="both"/>
        <w:rPr>
          <w:rFonts w:ascii="Arial" w:eastAsia="Arial" w:hAnsi="Arial" w:cs="Arial"/>
          <w:i/>
          <w:color w:val="000000"/>
        </w:rPr>
      </w:pPr>
      <w:r>
        <w:rPr>
          <w:rFonts w:ascii="Arial" w:eastAsia="Arial" w:hAnsi="Arial" w:cs="Arial"/>
          <w:i/>
          <w:color w:val="000000"/>
        </w:rPr>
        <w:t xml:space="preserve">• Ejecución: Alusiva a la materialización de los proyectos del plan de desarrollo local, priorizados por la ciudadanía, el ejercicio del control social a lo público y la rendición de cuentas. </w:t>
      </w:r>
    </w:p>
    <w:p w14:paraId="53422069" w14:textId="77777777" w:rsidR="00C84CB7" w:rsidRDefault="00C84CB7">
      <w:pPr>
        <w:rPr>
          <w:rFonts w:ascii="Arial" w:eastAsia="Arial" w:hAnsi="Arial" w:cs="Arial"/>
        </w:rPr>
      </w:pPr>
    </w:p>
    <w:p w14:paraId="2AE2506F" w14:textId="77777777" w:rsidR="00C84CB7" w:rsidRDefault="00C67A7D">
      <w:pPr>
        <w:ind w:right="40"/>
        <w:jc w:val="both"/>
        <w:rPr>
          <w:rFonts w:ascii="Arial" w:eastAsia="Arial" w:hAnsi="Arial" w:cs="Arial"/>
          <w:color w:val="000000"/>
        </w:rPr>
      </w:pPr>
      <w:r>
        <w:rPr>
          <w:rFonts w:ascii="Arial" w:eastAsia="Arial" w:hAnsi="Arial" w:cs="Arial"/>
          <w:i/>
          <w:color w:val="000000"/>
        </w:rPr>
        <w:t>• Seguimiento y Evaluación: Referente al seguimiento, monitoreo, control y valoración de las diferentes etapas de la planeación del desarrollo local.”</w:t>
      </w:r>
    </w:p>
    <w:p w14:paraId="47348891" w14:textId="77777777" w:rsidR="00C84CB7" w:rsidRDefault="00C84CB7">
      <w:pPr>
        <w:ind w:right="40"/>
        <w:jc w:val="both"/>
        <w:rPr>
          <w:rFonts w:ascii="Arial" w:eastAsia="Arial" w:hAnsi="Arial" w:cs="Arial"/>
          <w:color w:val="000000"/>
        </w:rPr>
      </w:pPr>
    </w:p>
    <w:p w14:paraId="4567FF23" w14:textId="77777777" w:rsidR="00C84CB7" w:rsidRDefault="00C67A7D">
      <w:pPr>
        <w:ind w:right="40"/>
        <w:jc w:val="both"/>
        <w:rPr>
          <w:rFonts w:ascii="Arial" w:eastAsia="Arial" w:hAnsi="Arial" w:cs="Arial"/>
        </w:rPr>
      </w:pPr>
      <w:r>
        <w:rPr>
          <w:rFonts w:ascii="Arial" w:eastAsia="Arial" w:hAnsi="Arial" w:cs="Arial"/>
          <w:color w:val="000000"/>
        </w:rPr>
        <w:t xml:space="preserve">En el parágrafo 1 del artículo 43 </w:t>
      </w:r>
      <w:r>
        <w:rPr>
          <w:rFonts w:ascii="Arial" w:eastAsia="Arial" w:hAnsi="Arial" w:cs="Arial"/>
          <w:i/>
          <w:color w:val="000000"/>
        </w:rPr>
        <w:t xml:space="preserve">ibídem, </w:t>
      </w:r>
      <w:r>
        <w:rPr>
          <w:rFonts w:ascii="Arial" w:eastAsia="Arial" w:hAnsi="Arial" w:cs="Arial"/>
          <w:color w:val="000000"/>
        </w:rPr>
        <w:t xml:space="preserve">reza: </w:t>
      </w:r>
      <w:r>
        <w:rPr>
          <w:rFonts w:ascii="Arial" w:eastAsia="Arial" w:hAnsi="Arial" w:cs="Arial"/>
          <w:i/>
          <w:color w:val="000000"/>
        </w:rPr>
        <w:t>“Los recursos del presupuesto participativo se destinarán para financiar los proyectos que se formulen y se prioricen contenidos en los planes de desarrollo local de comuna y corregimiento.”</w:t>
      </w:r>
    </w:p>
    <w:p w14:paraId="41B3C119" w14:textId="77777777" w:rsidR="00C84CB7" w:rsidRDefault="00C84CB7">
      <w:pPr>
        <w:jc w:val="both"/>
        <w:rPr>
          <w:rFonts w:ascii="Arial" w:eastAsia="Arial" w:hAnsi="Arial" w:cs="Arial"/>
        </w:rPr>
      </w:pPr>
    </w:p>
    <w:p w14:paraId="2803BEB0" w14:textId="77777777" w:rsidR="00C84CB7" w:rsidRDefault="00C67A7D">
      <w:pPr>
        <w:jc w:val="both"/>
        <w:rPr>
          <w:rFonts w:ascii="Arial" w:eastAsia="Arial" w:hAnsi="Arial" w:cs="Arial"/>
        </w:rPr>
      </w:pPr>
      <w:r>
        <w:rPr>
          <w:rFonts w:ascii="Arial" w:eastAsia="Arial" w:hAnsi="Arial" w:cs="Arial"/>
        </w:rPr>
        <w:t xml:space="preserve">En el Decreto 0146 de 2022, reglamenta de los procedimientos metodológicos para la orientación del presupuesto participativo y la conformación de los Consejos Comunales y </w:t>
      </w:r>
      <w:proofErr w:type="spellStart"/>
      <w:r>
        <w:rPr>
          <w:rFonts w:ascii="Arial" w:eastAsia="Arial" w:hAnsi="Arial" w:cs="Arial"/>
        </w:rPr>
        <w:t>Corregimentales</w:t>
      </w:r>
      <w:proofErr w:type="spellEnd"/>
      <w:r>
        <w:rPr>
          <w:rFonts w:ascii="Arial" w:eastAsia="Arial" w:hAnsi="Arial" w:cs="Arial"/>
        </w:rPr>
        <w:t xml:space="preserve"> de Planeación y su funcionamiento. </w:t>
      </w:r>
    </w:p>
    <w:p w14:paraId="32B74147" w14:textId="77777777" w:rsidR="00C84CB7" w:rsidRDefault="00C84CB7">
      <w:pPr>
        <w:rPr>
          <w:rFonts w:ascii="Arial" w:eastAsia="Arial" w:hAnsi="Arial" w:cs="Arial"/>
        </w:rPr>
      </w:pPr>
    </w:p>
    <w:p w14:paraId="3B500461" w14:textId="77777777" w:rsidR="00C84CB7" w:rsidRDefault="00C67A7D">
      <w:pPr>
        <w:jc w:val="both"/>
        <w:rPr>
          <w:rFonts w:ascii="Arial" w:eastAsia="Arial" w:hAnsi="Arial" w:cs="Arial"/>
          <w:i/>
        </w:rPr>
      </w:pPr>
      <w:r>
        <w:rPr>
          <w:rFonts w:ascii="Arial" w:eastAsia="Arial" w:hAnsi="Arial" w:cs="Arial"/>
        </w:rPr>
        <w:t xml:space="preserve">Con base en lo establecido en el artículo 19 del Decreto 0146 de 2022, indica: </w:t>
      </w:r>
      <w:r>
        <w:rPr>
          <w:rFonts w:ascii="Arial" w:eastAsia="Arial" w:hAnsi="Arial" w:cs="Arial"/>
          <w:i/>
        </w:rPr>
        <w:t xml:space="preserve">“De conformidad con el artículo 43 del Acuerdo 28 de 2017, la planeación participativa del desarrollo local corresponde al proceso técnico y político de construcción de acuerdos entre los actores del territorio y la Administración Municipal sobre el desarrollo local. Para lo cual, el Departamento Administrativo de Planeación, garantizando el derecho a la participación, acompañará y orientará técnicamente a los Consejos Comunales y </w:t>
      </w:r>
      <w:proofErr w:type="spellStart"/>
      <w:r>
        <w:rPr>
          <w:rFonts w:ascii="Arial" w:eastAsia="Arial" w:hAnsi="Arial" w:cs="Arial"/>
          <w:i/>
        </w:rPr>
        <w:t>Corregimentales</w:t>
      </w:r>
      <w:proofErr w:type="spellEnd"/>
      <w:r>
        <w:rPr>
          <w:rFonts w:ascii="Arial" w:eastAsia="Arial" w:hAnsi="Arial" w:cs="Arial"/>
          <w:i/>
        </w:rPr>
        <w:t xml:space="preserve"> de Planeación en los ejercicios participativos de la planeación local y el presupuesto participativo, fijando los criterios, lineamientos y la metodología para la implementación del proceso de la Planeación Participativa, mediante procedimientos ajustados a los procesos del Sistema Integrado de Gestión-SIG, conforme a lo dispuesto por el artículo  7 del Acuerdo 28 de 2017. La Secretaría de Participación Ciudadana realizará el acompañamiento a los Consejos Comunales y </w:t>
      </w:r>
      <w:proofErr w:type="spellStart"/>
      <w:r>
        <w:rPr>
          <w:rFonts w:ascii="Arial" w:eastAsia="Arial" w:hAnsi="Arial" w:cs="Arial"/>
          <w:i/>
        </w:rPr>
        <w:t>Corregimentales</w:t>
      </w:r>
      <w:proofErr w:type="spellEnd"/>
      <w:r>
        <w:rPr>
          <w:rFonts w:ascii="Arial" w:eastAsia="Arial" w:hAnsi="Arial" w:cs="Arial"/>
          <w:i/>
        </w:rPr>
        <w:t xml:space="preserve"> de Planeación en el proceso de movilización ciudadana; las demás dependencias misionales y entes descentralizados del Municipio de Medellín apoyarán los diagnósticos y formularán técnicamente los proyectos desde sus competencias y funciones misionales…”</w:t>
      </w:r>
    </w:p>
    <w:p w14:paraId="6823FC9C" w14:textId="77777777" w:rsidR="002C7FDC" w:rsidRDefault="002C7FDC">
      <w:pPr>
        <w:jc w:val="both"/>
        <w:rPr>
          <w:rFonts w:ascii="Arial" w:eastAsia="Arial" w:hAnsi="Arial" w:cs="Arial"/>
          <w:i/>
        </w:rPr>
      </w:pPr>
    </w:p>
    <w:p w14:paraId="35C44CA1" w14:textId="77777777" w:rsidR="002C7FDC" w:rsidRDefault="002C7FDC" w:rsidP="002C7FDC">
      <w:pPr>
        <w:jc w:val="both"/>
        <w:rPr>
          <w:rFonts w:ascii="Arial" w:eastAsia="Arial" w:hAnsi="Arial" w:cs="Arial"/>
        </w:rPr>
      </w:pPr>
      <w:r>
        <w:rPr>
          <w:rFonts w:ascii="Arial" w:eastAsia="Arial" w:hAnsi="Arial" w:cs="Arial"/>
        </w:rPr>
        <w:lastRenderedPageBreak/>
        <w:t xml:space="preserve">En el parágrafo primero </w:t>
      </w:r>
      <w:r>
        <w:rPr>
          <w:rFonts w:ascii="Arial" w:eastAsia="Arial" w:hAnsi="Arial" w:cs="Arial"/>
          <w:i/>
        </w:rPr>
        <w:t xml:space="preserve">ibídem, </w:t>
      </w:r>
      <w:r>
        <w:rPr>
          <w:rFonts w:ascii="Arial" w:eastAsia="Arial" w:hAnsi="Arial" w:cs="Arial"/>
        </w:rPr>
        <w:t>se expresó que son destinatarios de los incentivos especiales los educandos matriculados en los grados 11° a 6º de los establecimientos educativos oficiales.</w:t>
      </w:r>
    </w:p>
    <w:p w14:paraId="46BC7A3B" w14:textId="77777777" w:rsidR="002C7FDC" w:rsidRDefault="002C7FDC" w:rsidP="002C7FDC">
      <w:pPr>
        <w:jc w:val="both"/>
        <w:rPr>
          <w:rFonts w:ascii="Arial" w:eastAsia="Arial" w:hAnsi="Arial" w:cs="Arial"/>
        </w:rPr>
      </w:pPr>
    </w:p>
    <w:p w14:paraId="47A9F6AF" w14:textId="77777777" w:rsidR="002C7FDC" w:rsidRDefault="002C7FDC" w:rsidP="002C7FDC">
      <w:pPr>
        <w:ind w:right="40"/>
        <w:jc w:val="both"/>
        <w:rPr>
          <w:rFonts w:ascii="Arial" w:eastAsia="Arial" w:hAnsi="Arial" w:cs="Arial"/>
        </w:rPr>
      </w:pPr>
      <w:r>
        <w:rPr>
          <w:rFonts w:ascii="Arial" w:eastAsia="Arial" w:hAnsi="Arial" w:cs="Arial"/>
        </w:rPr>
        <w:t xml:space="preserve">Con base en el parágrafo segundo </w:t>
      </w:r>
      <w:r>
        <w:rPr>
          <w:rFonts w:ascii="Arial" w:eastAsia="Arial" w:hAnsi="Arial" w:cs="Arial"/>
          <w:i/>
        </w:rPr>
        <w:t>ibídem,</w:t>
      </w:r>
      <w:r>
        <w:rPr>
          <w:rFonts w:ascii="Arial" w:eastAsia="Arial" w:hAnsi="Arial" w:cs="Arial"/>
        </w:rPr>
        <w:t xml:space="preserve"> se priorizarían las entregas piloto a la población estudiantil de uno o varios establecimientos educativos altamente vulnerables, como una acción afirmativa de reducción de las brechas digitales.</w:t>
      </w:r>
    </w:p>
    <w:p w14:paraId="479EE502" w14:textId="77777777" w:rsidR="002C7FDC" w:rsidRPr="002C7FDC" w:rsidRDefault="002C7FDC">
      <w:pPr>
        <w:jc w:val="both"/>
        <w:rPr>
          <w:rFonts w:ascii="Arial" w:eastAsia="Arial" w:hAnsi="Arial" w:cs="Arial"/>
        </w:rPr>
      </w:pPr>
    </w:p>
    <w:p w14:paraId="2490368B" w14:textId="16E43C9A" w:rsidR="00C84CB7" w:rsidRDefault="00C67A7D">
      <w:pPr>
        <w:ind w:right="40"/>
        <w:jc w:val="both"/>
        <w:rPr>
          <w:rFonts w:ascii="Arial" w:eastAsia="Arial" w:hAnsi="Arial" w:cs="Arial"/>
        </w:rPr>
      </w:pPr>
      <w:r w:rsidRPr="00A65CC5">
        <w:rPr>
          <w:rFonts w:ascii="Arial" w:eastAsia="Arial" w:hAnsi="Arial" w:cs="Arial"/>
        </w:rPr>
        <w:t xml:space="preserve">Conforme con lo anterior, se </w:t>
      </w:r>
      <w:r w:rsidR="002C7FDC">
        <w:rPr>
          <w:rFonts w:ascii="Arial" w:eastAsia="Arial" w:hAnsi="Arial" w:cs="Arial"/>
        </w:rPr>
        <w:t>adicionará</w:t>
      </w:r>
      <w:r w:rsidR="002C7FDC" w:rsidRPr="00A65CC5">
        <w:rPr>
          <w:rFonts w:ascii="Arial" w:eastAsia="Arial" w:hAnsi="Arial" w:cs="Arial"/>
        </w:rPr>
        <w:t xml:space="preserve"> </w:t>
      </w:r>
      <w:r w:rsidRPr="00A65CC5">
        <w:rPr>
          <w:rFonts w:ascii="Arial" w:eastAsia="Arial" w:hAnsi="Arial" w:cs="Arial"/>
        </w:rPr>
        <w:t>el parágrafo</w:t>
      </w:r>
      <w:r w:rsidR="00A46FE2">
        <w:rPr>
          <w:rFonts w:ascii="Arial" w:eastAsia="Arial" w:hAnsi="Arial" w:cs="Arial"/>
        </w:rPr>
        <w:t xml:space="preserve"> 1</w:t>
      </w:r>
      <w:r w:rsidRPr="00A65CC5">
        <w:rPr>
          <w:rFonts w:ascii="Arial" w:eastAsia="Arial" w:hAnsi="Arial" w:cs="Arial"/>
        </w:rPr>
        <w:t xml:space="preserve"> </w:t>
      </w:r>
      <w:r w:rsidR="00A46FE2">
        <w:rPr>
          <w:rFonts w:ascii="Arial" w:eastAsia="Arial" w:hAnsi="Arial" w:cs="Arial"/>
        </w:rPr>
        <w:t>al</w:t>
      </w:r>
      <w:r w:rsidRPr="00A65CC5">
        <w:rPr>
          <w:rFonts w:ascii="Arial" w:eastAsia="Arial" w:hAnsi="Arial" w:cs="Arial"/>
        </w:rPr>
        <w:t xml:space="preserve"> artículo 1</w:t>
      </w:r>
      <w:r w:rsidR="002C7FDC">
        <w:rPr>
          <w:rFonts w:ascii="Arial" w:eastAsia="Arial" w:hAnsi="Arial" w:cs="Arial"/>
        </w:rPr>
        <w:t xml:space="preserve"> </w:t>
      </w:r>
      <w:r w:rsidR="002C7FDC" w:rsidRPr="00A65CC5">
        <w:rPr>
          <w:rFonts w:ascii="Arial" w:eastAsia="Arial" w:hAnsi="Arial" w:cs="Arial"/>
        </w:rPr>
        <w:t>en el sentido de extender el alcance</w:t>
      </w:r>
      <w:r w:rsidR="002C7FDC">
        <w:rPr>
          <w:rFonts w:ascii="Arial" w:eastAsia="Arial" w:hAnsi="Arial" w:cs="Arial"/>
        </w:rPr>
        <w:t xml:space="preserve"> de los incentivos especiales para los educandos matriculados en los grados 11 a 1 de establecimientos educativos oficiales,</w:t>
      </w:r>
      <w:r w:rsidRPr="00A65CC5">
        <w:rPr>
          <w:rFonts w:ascii="Arial" w:eastAsia="Arial" w:hAnsi="Arial" w:cs="Arial"/>
        </w:rPr>
        <w:t xml:space="preserve"> se adicionarán los parágrafos 3 y 4 al artículo 2 del Decreto 096 del 2022 , el objeto y de los destinatarios de los incentivos especiales para el fomento de la ciencia y la tecnología y la priorización participativa en su financiación de acuerdo con el artículo 43 del Acuerdo Municipal 028 de 2017 y el Decreto 146 de 2022. Y se modificará el artículo 3 en el sentido que, luego de la entrega, los estudiantes de los grados 1 a 10 que permane</w:t>
      </w:r>
      <w:r w:rsidR="00426553">
        <w:rPr>
          <w:rFonts w:ascii="Arial" w:eastAsia="Arial" w:hAnsi="Arial" w:cs="Arial"/>
        </w:rPr>
        <w:t>zcan en la matricula entre el t</w:t>
      </w:r>
      <w:r w:rsidR="002C7FDC">
        <w:rPr>
          <w:rFonts w:ascii="Arial" w:eastAsia="Arial" w:hAnsi="Arial" w:cs="Arial"/>
        </w:rPr>
        <w:t>é</w:t>
      </w:r>
      <w:r w:rsidRPr="00A65CC5">
        <w:rPr>
          <w:rFonts w:ascii="Arial" w:eastAsia="Arial" w:hAnsi="Arial" w:cs="Arial"/>
        </w:rPr>
        <w:t>rmino y el inicio de los años lectivos, podrán seguir con la tenencia de la herramienta tecnológica, igualmente, los estudiantes de grado 11 podrán hacer permanente el incentivo con el cumplimiento de requisitos que se determinan, de acuerdo con el Artículo 71 Constitución Política, “</w:t>
      </w:r>
      <w:r w:rsidRPr="00A65CC5">
        <w:rPr>
          <w:rFonts w:ascii="Arial" w:eastAsia="Arial" w:hAnsi="Arial" w:cs="Arial"/>
          <w:i/>
        </w:rPr>
        <w:t xml:space="preserve">La búsqueda del conocimiento y la expresión artística son libres. Los planes de desarrollo económico y social incluirán el fomento a las ciencias y, en general, a la cultura. El Estado creará incentivos para personas e instituciones que desarrollen y fomenten la ciencia y la tecnología y las demás manifestaciones culturales y ofrecerá estímulos especiales a </w:t>
      </w:r>
      <w:r w:rsidRPr="00A65CC5">
        <w:rPr>
          <w:rFonts w:ascii="Arial" w:eastAsia="Arial" w:hAnsi="Arial" w:cs="Arial"/>
          <w:i/>
          <w:u w:val="single"/>
        </w:rPr>
        <w:t>personas e instituciones</w:t>
      </w:r>
      <w:r w:rsidRPr="00A65CC5">
        <w:rPr>
          <w:rFonts w:ascii="Arial" w:eastAsia="Arial" w:hAnsi="Arial" w:cs="Arial"/>
          <w:i/>
        </w:rPr>
        <w:t xml:space="preserve"> que ejerzan estas actividades</w:t>
      </w:r>
      <w:r w:rsidRPr="00A65CC5">
        <w:rPr>
          <w:rFonts w:ascii="Arial" w:eastAsia="Arial" w:hAnsi="Arial" w:cs="Arial"/>
        </w:rPr>
        <w:t>”. (Subrayado fuera de texto).</w:t>
      </w:r>
    </w:p>
    <w:p w14:paraId="4B89448B" w14:textId="77777777" w:rsidR="00C84CB7" w:rsidRDefault="00C84CB7">
      <w:pPr>
        <w:ind w:right="40"/>
        <w:jc w:val="both"/>
        <w:rPr>
          <w:rFonts w:ascii="Arial" w:eastAsia="Arial" w:hAnsi="Arial" w:cs="Arial"/>
        </w:rPr>
      </w:pPr>
    </w:p>
    <w:p w14:paraId="6C175E5D" w14:textId="77777777" w:rsidR="00C84CB7" w:rsidRDefault="00C67A7D">
      <w:pPr>
        <w:ind w:right="40"/>
        <w:jc w:val="both"/>
        <w:rPr>
          <w:rFonts w:ascii="Arial" w:eastAsia="Arial" w:hAnsi="Arial" w:cs="Arial"/>
        </w:rPr>
      </w:pPr>
      <w:bookmarkStart w:id="0" w:name="_gjdgxs" w:colFirst="0" w:colLast="0"/>
      <w:bookmarkEnd w:id="0"/>
      <w:r>
        <w:rPr>
          <w:rFonts w:ascii="Arial" w:eastAsia="Arial" w:hAnsi="Arial" w:cs="Arial"/>
        </w:rPr>
        <w:t xml:space="preserve">De conformidad con lo establecido en el parágrafo 2 del artículo 20 del aprobado proyecto de ley número 371 de 2022 del Senado y número 043 de 2021 de la Cámara (pendiente de sanción presidencial) “por medio del cual se dictan disposiciones para el Distrito Especial de Ciencia, Tecnología e Innovación de Medellín y se dictan otras disposiciones”, se dispuso: “De conformidad con lo previsto en el artículo 71 de la Constitución Política, se autoriza la creación de incentivos y estímulos para el fomento de la ciencia, tecnología e innovación para la prestación del servicio educativo en el marco de la transformación educativa y digital del distrito de Medellín. </w:t>
      </w:r>
      <w:r>
        <w:rPr>
          <w:rFonts w:ascii="Arial" w:eastAsia="Arial" w:hAnsi="Arial" w:cs="Arial"/>
          <w:b/>
          <w:i/>
        </w:rPr>
        <w:t>El Alcalde Distrital podrá expedir los respectivos decretos que reglamenten la materia.</w:t>
      </w:r>
      <w:r>
        <w:rPr>
          <w:rFonts w:ascii="Arial" w:eastAsia="Arial" w:hAnsi="Arial" w:cs="Arial"/>
        </w:rPr>
        <w:t>”</w:t>
      </w:r>
    </w:p>
    <w:p w14:paraId="578BF5C4" w14:textId="77777777" w:rsidR="00C84CB7" w:rsidRDefault="00C84CB7">
      <w:pPr>
        <w:ind w:right="40"/>
        <w:jc w:val="both"/>
        <w:rPr>
          <w:rFonts w:ascii="Arial" w:eastAsia="Arial" w:hAnsi="Arial" w:cs="Arial"/>
          <w:color w:val="FF0000"/>
        </w:rPr>
      </w:pPr>
    </w:p>
    <w:p w14:paraId="2F605445" w14:textId="77777777" w:rsidR="00C84CB7" w:rsidRDefault="00C67A7D">
      <w:pPr>
        <w:jc w:val="both"/>
        <w:rPr>
          <w:rFonts w:ascii="Arial" w:eastAsia="Arial" w:hAnsi="Arial" w:cs="Arial"/>
          <w:b/>
          <w:i/>
        </w:rPr>
      </w:pPr>
      <w:r>
        <w:rPr>
          <w:rFonts w:ascii="Arial" w:eastAsia="Arial" w:hAnsi="Arial" w:cs="Arial"/>
        </w:rPr>
        <w:t>Del mismo modo, la Sentencia C-324 de 2009, manifiesta: “</w:t>
      </w:r>
      <w:r>
        <w:rPr>
          <w:rFonts w:ascii="Arial" w:eastAsia="Arial" w:hAnsi="Arial" w:cs="Arial"/>
          <w:b/>
          <w:i/>
        </w:rPr>
        <w:t>Finalmente, la Constitución autoriza y desarrolla de manera expresa y directa subvenciones, esto es, subsidios o auxilios que se legitiman por si mismos dentro de un Estado social de derecho, de manera que su objetivo no es otro que acortar las distancias de los sectores más deprimidos de la población frente a aquellos que tienen mayor capacidad económica, lo cual de suyo lleva implícita una contraprestación social; en consecuencia la Carta enlista los siguientes:</w:t>
      </w:r>
    </w:p>
    <w:p w14:paraId="5CB6043E" w14:textId="77777777" w:rsidR="00C84CB7" w:rsidRDefault="00C67A7D">
      <w:pPr>
        <w:jc w:val="both"/>
        <w:rPr>
          <w:rFonts w:ascii="Arial" w:eastAsia="Arial" w:hAnsi="Arial" w:cs="Arial"/>
          <w:i/>
        </w:rPr>
      </w:pPr>
      <w:r>
        <w:rPr>
          <w:rFonts w:ascii="Arial" w:eastAsia="Arial" w:hAnsi="Arial" w:cs="Arial"/>
          <w:i/>
        </w:rPr>
        <w:lastRenderedPageBreak/>
        <w:t>· Artículo 43, por el cual se autoriza subsidio alimentario a la mujer en embarazo o después del parto si se encontraré desempleada o desamparada;</w:t>
      </w:r>
    </w:p>
    <w:p w14:paraId="4DCD9CC8" w14:textId="77777777" w:rsidR="00C84CB7" w:rsidRDefault="00C67A7D">
      <w:pPr>
        <w:jc w:val="both"/>
        <w:rPr>
          <w:rFonts w:ascii="Arial" w:eastAsia="Arial" w:hAnsi="Arial" w:cs="Arial"/>
          <w:i/>
        </w:rPr>
      </w:pPr>
      <w:r>
        <w:rPr>
          <w:rFonts w:ascii="Arial" w:eastAsia="Arial" w:hAnsi="Arial" w:cs="Arial"/>
          <w:i/>
        </w:rPr>
        <w:t>· Artículo 46, por el cual se reconoce un subsidio alimentario a personas de la tercera edad en estado de indigencia;</w:t>
      </w:r>
    </w:p>
    <w:p w14:paraId="640491D3" w14:textId="77777777" w:rsidR="00C84CB7" w:rsidRDefault="00C67A7D">
      <w:pPr>
        <w:jc w:val="both"/>
        <w:rPr>
          <w:rFonts w:ascii="Arial" w:eastAsia="Arial" w:hAnsi="Arial" w:cs="Arial"/>
          <w:i/>
        </w:rPr>
      </w:pPr>
      <w:r>
        <w:rPr>
          <w:rFonts w:ascii="Arial" w:eastAsia="Arial" w:hAnsi="Arial" w:cs="Arial"/>
          <w:i/>
        </w:rPr>
        <w:t>· Artículo 48, por el cual se autoriza un subsidio dirigido a ampliar la cobertura en materia de seguridad social;</w:t>
      </w:r>
    </w:p>
    <w:p w14:paraId="1E5B3E72" w14:textId="77777777" w:rsidR="00C84CB7" w:rsidRDefault="00C67A7D">
      <w:pPr>
        <w:jc w:val="both"/>
        <w:rPr>
          <w:rFonts w:ascii="Arial" w:eastAsia="Arial" w:hAnsi="Arial" w:cs="Arial"/>
          <w:i/>
        </w:rPr>
      </w:pPr>
      <w:r>
        <w:rPr>
          <w:rFonts w:ascii="Arial" w:eastAsia="Arial" w:hAnsi="Arial" w:cs="Arial"/>
          <w:i/>
        </w:rPr>
        <w:t>· Artículo 50, mediante el cual se establece la atención gratuita a todo niño menor en instituciones que reciban aportes del Estado;</w:t>
      </w:r>
    </w:p>
    <w:p w14:paraId="2D775962" w14:textId="77777777" w:rsidR="00C84CB7" w:rsidRDefault="00C67A7D">
      <w:pPr>
        <w:jc w:val="both"/>
        <w:rPr>
          <w:rFonts w:ascii="Arial" w:eastAsia="Arial" w:hAnsi="Arial" w:cs="Arial"/>
          <w:i/>
        </w:rPr>
      </w:pPr>
      <w:r>
        <w:rPr>
          <w:rFonts w:ascii="Arial" w:eastAsia="Arial" w:hAnsi="Arial" w:cs="Arial"/>
          <w:i/>
        </w:rPr>
        <w:t>· Artículo 51, por el cual se autoriza la promoción de planes de vivienda de interés social, sistemas de financiación y formas asociativas de ejecución de programas de vivienda;</w:t>
      </w:r>
    </w:p>
    <w:p w14:paraId="56ACC065" w14:textId="77777777" w:rsidR="00C84CB7" w:rsidRDefault="00C67A7D">
      <w:pPr>
        <w:jc w:val="both"/>
        <w:rPr>
          <w:rFonts w:ascii="Arial" w:eastAsia="Arial" w:hAnsi="Arial" w:cs="Arial"/>
          <w:i/>
        </w:rPr>
      </w:pPr>
      <w:r>
        <w:rPr>
          <w:rFonts w:ascii="Arial" w:eastAsia="Arial" w:hAnsi="Arial" w:cs="Arial"/>
          <w:i/>
        </w:rPr>
        <w:t>· Artículo 52, por el cual se consagra la obligación del Estado de fomentar las actividades deportivas y recreativas;</w:t>
      </w:r>
    </w:p>
    <w:p w14:paraId="3C5DBA95" w14:textId="77777777" w:rsidR="00C84CB7" w:rsidRDefault="00C67A7D">
      <w:pPr>
        <w:jc w:val="both"/>
        <w:rPr>
          <w:rFonts w:ascii="Arial" w:eastAsia="Arial" w:hAnsi="Arial" w:cs="Arial"/>
          <w:i/>
        </w:rPr>
      </w:pPr>
      <w:r>
        <w:rPr>
          <w:rFonts w:ascii="Arial" w:eastAsia="Arial" w:hAnsi="Arial" w:cs="Arial"/>
          <w:i/>
        </w:rPr>
        <w:t>· Artículo 64, según el cual corresponde al Estado garantizar el acceso progresivo a la propiedad de la tierra de los trabajadores del campo;</w:t>
      </w:r>
    </w:p>
    <w:p w14:paraId="72CBC270" w14:textId="77777777" w:rsidR="00C84CB7" w:rsidRDefault="00C67A7D">
      <w:pPr>
        <w:jc w:val="both"/>
        <w:rPr>
          <w:rFonts w:ascii="Arial" w:eastAsia="Arial" w:hAnsi="Arial" w:cs="Arial"/>
          <w:i/>
        </w:rPr>
      </w:pPr>
      <w:r>
        <w:rPr>
          <w:rFonts w:ascii="Arial" w:eastAsia="Arial" w:hAnsi="Arial" w:cs="Arial"/>
          <w:i/>
        </w:rPr>
        <w:t>· Artículo 69, que autoriza la creación de mecanismos financieros dirigidos a facilitar el acceso de personas aptas a la educación superior;</w:t>
      </w:r>
    </w:p>
    <w:p w14:paraId="0DEF3A80" w14:textId="77777777" w:rsidR="00C84CB7" w:rsidRDefault="00C67A7D">
      <w:pPr>
        <w:jc w:val="both"/>
        <w:rPr>
          <w:rFonts w:ascii="Arial" w:eastAsia="Arial" w:hAnsi="Arial" w:cs="Arial"/>
          <w:b/>
          <w:i/>
        </w:rPr>
      </w:pPr>
      <w:r>
        <w:rPr>
          <w:rFonts w:ascii="Arial" w:eastAsia="Arial" w:hAnsi="Arial" w:cs="Arial"/>
          <w:b/>
          <w:i/>
        </w:rPr>
        <w:t>· Artículo 71, por el cual se autoriza el fomento y creación de incentivos para personas e instituciones que desarrollen y fomenten la ciencia y la tecnología;</w:t>
      </w:r>
    </w:p>
    <w:p w14:paraId="2DA40510" w14:textId="77777777" w:rsidR="00C84CB7" w:rsidRDefault="00C67A7D">
      <w:pPr>
        <w:jc w:val="both"/>
        <w:rPr>
          <w:rFonts w:ascii="Arial" w:eastAsia="Arial" w:hAnsi="Arial" w:cs="Arial"/>
          <w:i/>
        </w:rPr>
      </w:pPr>
      <w:r>
        <w:rPr>
          <w:rFonts w:ascii="Arial" w:eastAsia="Arial" w:hAnsi="Arial" w:cs="Arial"/>
          <w:i/>
        </w:rPr>
        <w:t>· Artículo 305.6, por el cual se autoriza a los gobernadores a fomentar las empresas, industrias y actividades convenientes al desarrollo económico, social y cultural del departamento;</w:t>
      </w:r>
    </w:p>
    <w:p w14:paraId="0862F202" w14:textId="77777777" w:rsidR="00C84CB7" w:rsidRDefault="00C67A7D">
      <w:pPr>
        <w:jc w:val="both"/>
        <w:rPr>
          <w:rFonts w:ascii="Arial" w:eastAsia="Arial" w:hAnsi="Arial" w:cs="Arial"/>
          <w:i/>
        </w:rPr>
      </w:pPr>
      <w:r>
        <w:rPr>
          <w:rFonts w:ascii="Arial" w:eastAsia="Arial" w:hAnsi="Arial" w:cs="Arial"/>
          <w:i/>
        </w:rPr>
        <w:t>· Artículo 368, por el cual la Nación, los departamentos, distritos, municipios y entidades descentralizadas pueden conceder subsidios, en sus respectivos presupuestos, para que las personas de menores ingresos puedan pagar sus tarifas y cubrir sus necesidades básicas.</w:t>
      </w:r>
    </w:p>
    <w:p w14:paraId="56EAFD3C" w14:textId="77777777" w:rsidR="00C84CB7" w:rsidRDefault="00C84CB7">
      <w:pPr>
        <w:jc w:val="both"/>
        <w:rPr>
          <w:rFonts w:ascii="Arial" w:eastAsia="Arial" w:hAnsi="Arial" w:cs="Arial"/>
          <w:i/>
        </w:rPr>
      </w:pPr>
    </w:p>
    <w:p w14:paraId="1001BDB8" w14:textId="77777777" w:rsidR="00C84CB7" w:rsidRDefault="00C67A7D">
      <w:pPr>
        <w:jc w:val="both"/>
        <w:rPr>
          <w:rFonts w:ascii="Arial" w:eastAsia="Arial" w:hAnsi="Arial" w:cs="Arial"/>
          <w:i/>
        </w:rPr>
      </w:pPr>
      <w:r w:rsidRPr="00A65CC5">
        <w:rPr>
          <w:rFonts w:ascii="Arial" w:eastAsia="Arial" w:hAnsi="Arial" w:cs="Arial"/>
          <w:i/>
        </w:rPr>
        <w:t>En aplicación de los principios de racionalidad e integralidad, se tiene que el lindero entre los auxilios o subsidios creados en desarrollo de la  facultad de intervención en la economía que otorga el artículo 334 superior y los que directamente autoriza la Constitución Política -antes enlistados-, y, la restricción que expresamente impone el inciso primero del artículo 355, debe buscarse no a título de excepción de una disposición frente a la otra, sino precisamente, en función de que el auxilio o subsidio, alcance la finalidad para el cual fue creado y reporte un beneficio social, pues de lo contrario, se estaría en el campo  de la prohibición de que trata el artículo 355 superior.</w:t>
      </w:r>
    </w:p>
    <w:p w14:paraId="2DD7E3EF" w14:textId="77777777" w:rsidR="00C84CB7" w:rsidRDefault="00C84CB7">
      <w:pPr>
        <w:jc w:val="both"/>
        <w:rPr>
          <w:rFonts w:ascii="Arial" w:eastAsia="Arial" w:hAnsi="Arial" w:cs="Arial"/>
          <w:i/>
        </w:rPr>
      </w:pPr>
    </w:p>
    <w:p w14:paraId="4E50021E" w14:textId="77777777" w:rsidR="00C84CB7" w:rsidRDefault="00C67A7D">
      <w:pPr>
        <w:jc w:val="both"/>
        <w:rPr>
          <w:rFonts w:ascii="Arial" w:eastAsia="Arial" w:hAnsi="Arial" w:cs="Arial"/>
          <w:i/>
        </w:rPr>
      </w:pPr>
      <w:r>
        <w:rPr>
          <w:rFonts w:ascii="Arial" w:eastAsia="Arial" w:hAnsi="Arial" w:cs="Arial"/>
          <w:i/>
        </w:rPr>
        <w:t xml:space="preserve">En ese orden, se precisa: (1). Imponer una carga al legislador de manera tal que al señalar la subvención o auxilio explique de manera concreta su finalidad, destinatarios, alcances y condiciones de asignación y, adicionalmente, se garantice su publicidad, la igualdad material de los destinatarios y la imparcialidad en la asignación. </w:t>
      </w:r>
      <w:proofErr w:type="gramStart"/>
      <w:r>
        <w:rPr>
          <w:rFonts w:ascii="Arial" w:eastAsia="Arial" w:hAnsi="Arial" w:cs="Arial"/>
          <w:i/>
        </w:rPr>
        <w:t>y</w:t>
      </w:r>
      <w:proofErr w:type="gramEnd"/>
      <w:r>
        <w:rPr>
          <w:rFonts w:ascii="Arial" w:eastAsia="Arial" w:hAnsi="Arial" w:cs="Arial"/>
          <w:i/>
        </w:rPr>
        <w:t xml:space="preserve"> (2). Establecer un fuerte control de constitucionalidad frente a cada subvención que sea autorizada por la ley.</w:t>
      </w:r>
    </w:p>
    <w:p w14:paraId="6E6E1EE0" w14:textId="77777777" w:rsidR="00C84CB7" w:rsidRDefault="00C84CB7">
      <w:pPr>
        <w:jc w:val="both"/>
        <w:rPr>
          <w:rFonts w:ascii="Arial" w:eastAsia="Arial" w:hAnsi="Arial" w:cs="Arial"/>
          <w:i/>
        </w:rPr>
      </w:pPr>
    </w:p>
    <w:p w14:paraId="11A35962" w14:textId="77777777" w:rsidR="00C84CB7" w:rsidRDefault="00C67A7D">
      <w:pPr>
        <w:jc w:val="both"/>
        <w:rPr>
          <w:rFonts w:ascii="Arial" w:eastAsia="Arial" w:hAnsi="Arial" w:cs="Arial"/>
          <w:i/>
        </w:rPr>
      </w:pPr>
      <w:r>
        <w:rPr>
          <w:rFonts w:ascii="Arial" w:eastAsia="Arial" w:hAnsi="Arial" w:cs="Arial"/>
          <w:i/>
        </w:rPr>
        <w:t xml:space="preserve">Pues bien, la prohibición consagrada en el inciso primero del artículo 355 de la Carta se activará cuando la donación, auxilio, subsidio o incentivo, cualquiera que sea su origen, </w:t>
      </w:r>
      <w:r>
        <w:rPr>
          <w:rFonts w:ascii="Arial" w:eastAsia="Arial" w:hAnsi="Arial" w:cs="Arial"/>
          <w:i/>
        </w:rPr>
        <w:lastRenderedPageBreak/>
        <w:t>se reconozca por mera liberalidad como una simple transferencia de recursos y, no con criterio redistributivo, de manera que se convierta en un privilegio aislado, empaquetado en medidas paliativas que no contribuyan al bienestar general y, que en cambio, si puedan ser usados como instrumentos de manipulación política. Es así como al endurecerse el control constitucional, la prohibición general de que trata la disposición en comento se materializará cuando se registre, al menos, uno de los siguientes eventos:</w:t>
      </w:r>
    </w:p>
    <w:p w14:paraId="42A8CE8E" w14:textId="77777777" w:rsidR="00C84CB7" w:rsidRDefault="00C67A7D">
      <w:pPr>
        <w:jc w:val="both"/>
        <w:rPr>
          <w:rFonts w:ascii="Arial" w:eastAsia="Arial" w:hAnsi="Arial" w:cs="Arial"/>
          <w:i/>
        </w:rPr>
      </w:pPr>
      <w:r>
        <w:rPr>
          <w:rFonts w:ascii="Arial" w:eastAsia="Arial" w:hAnsi="Arial" w:cs="Arial"/>
          <w:i/>
        </w:rPr>
        <w:t>(i.)              Cuando se omita dar aplicación al principio presupuestal de legalidad del gasto. El principio de legalidad del gasto público implica que toda asignación de recursos públicos debe ser decretada por el Congreso e incluida en una ley, de manera tal que se encuentra vedado al Gobierno realizar gastos que no cumplan con este específico requerimiento.</w:t>
      </w:r>
    </w:p>
    <w:p w14:paraId="61090223" w14:textId="77777777" w:rsidR="00C84CB7" w:rsidRDefault="00C67A7D">
      <w:pPr>
        <w:jc w:val="both"/>
        <w:rPr>
          <w:rFonts w:ascii="Arial" w:eastAsia="Arial" w:hAnsi="Arial" w:cs="Arial"/>
          <w:i/>
        </w:rPr>
      </w:pPr>
      <w:r>
        <w:rPr>
          <w:rFonts w:ascii="Arial" w:eastAsia="Arial" w:hAnsi="Arial" w:cs="Arial"/>
          <w:i/>
        </w:rPr>
        <w:t>          Este principio en la Constitución de 1991 encuentra su fundamento en razón a que el gasto público corresponde a una operación en que se emplea el dinero perteneciente al Estado por parte de la Administración Pública, razón por la cual el Constituyente Primario determinó en los artículos 345 y 346 de la Constitución Política de 1991, relativos al presupuesto, que no se podrá hacer erogación con cargo al Tesoro que no se encuentre incluida en el presupuesto de gastos; y que no podrá hacerse ningún gasto público "[…] que no haya sido decretado por el Congreso, por las asambleas departamentales, o por los concejos distritales o municipales[...]”</w:t>
      </w:r>
    </w:p>
    <w:p w14:paraId="31A3EFC7" w14:textId="77777777" w:rsidR="00C84CB7" w:rsidRDefault="00C67A7D">
      <w:pPr>
        <w:jc w:val="both"/>
        <w:rPr>
          <w:rFonts w:ascii="Arial" w:eastAsia="Arial" w:hAnsi="Arial" w:cs="Arial"/>
        </w:rPr>
      </w:pPr>
      <w:r>
        <w:rPr>
          <w:rFonts w:ascii="Arial" w:eastAsia="Arial" w:hAnsi="Arial" w:cs="Arial"/>
          <w:i/>
        </w:rPr>
        <w:t>(ii.)            Cuando la ley que crea la subvención o auxilio en desarrollo de los artículos 334 y siguientes de la C.P. o desarrolla las subvenciones autorizadas directamente por la Constitución Política, omita  determinar de manera concreta y explícita su finalidad, destinatarios, alcances materiales y temporales, condiciones y criterios de asignación, publicidad e impugnación, así como los límites a la libertad económica</w:t>
      </w:r>
      <w:r>
        <w:rPr>
          <w:rFonts w:ascii="Arial" w:eastAsia="Arial" w:hAnsi="Arial" w:cs="Arial"/>
        </w:rPr>
        <w:t>”. (Negrilla fuera de texto).</w:t>
      </w:r>
    </w:p>
    <w:p w14:paraId="793270D1" w14:textId="77777777" w:rsidR="00C84CB7" w:rsidRDefault="00C84CB7">
      <w:pPr>
        <w:ind w:right="40"/>
        <w:jc w:val="both"/>
        <w:rPr>
          <w:rFonts w:ascii="Arial" w:eastAsia="Arial" w:hAnsi="Arial" w:cs="Arial"/>
        </w:rPr>
      </w:pPr>
    </w:p>
    <w:p w14:paraId="1F1F05BA" w14:textId="77777777" w:rsidR="00C84CB7" w:rsidRDefault="00C67A7D">
      <w:pPr>
        <w:jc w:val="both"/>
        <w:rPr>
          <w:rFonts w:ascii="Arial" w:eastAsia="Arial" w:hAnsi="Arial" w:cs="Arial"/>
          <w:color w:val="4D5156"/>
          <w:sz w:val="21"/>
          <w:szCs w:val="21"/>
          <w:highlight w:val="white"/>
        </w:rPr>
      </w:pPr>
      <w:r>
        <w:rPr>
          <w:rFonts w:ascii="Arial" w:eastAsia="Arial" w:hAnsi="Arial" w:cs="Arial"/>
        </w:rPr>
        <w:t xml:space="preserve">De acuerdo con la oferta educativa distrital y del conglomerado público, internacional, nacional del Ministerio de Tecnologías de la Información y las Comunicaciones, </w:t>
      </w:r>
      <w:proofErr w:type="spellStart"/>
      <w:r>
        <w:rPr>
          <w:rFonts w:ascii="Arial" w:eastAsia="Arial" w:hAnsi="Arial" w:cs="Arial"/>
        </w:rPr>
        <w:t>INNpulsa</w:t>
      </w:r>
      <w:proofErr w:type="spellEnd"/>
      <w:r>
        <w:rPr>
          <w:rFonts w:ascii="Arial" w:eastAsia="Arial" w:hAnsi="Arial" w:cs="Arial"/>
        </w:rPr>
        <w:t xml:space="preserve">, </w:t>
      </w:r>
      <w:hyperlink r:id="rId6">
        <w:r>
          <w:rPr>
            <w:rFonts w:ascii="Arial" w:eastAsia="Arial" w:hAnsi="Arial" w:cs="Arial"/>
          </w:rPr>
          <w:t>Ministerio de Ciencia Tecnología e Innovación, o cualquier entidad pública o privada que lo oferte</w:t>
        </w:r>
      </w:hyperlink>
      <w:r>
        <w:rPr>
          <w:rFonts w:ascii="Arial" w:eastAsia="Arial" w:hAnsi="Arial" w:cs="Arial"/>
        </w:rPr>
        <w:t xml:space="preserve">, se dispondrá de convocatorias para los estudiantes en educación regular y educación postsecundaria, con el objeto de generar habilidades para la cuarta revolución industrial como el bilingüismo, habilidades blandas, tecnología y competencias y habilidades específicas, por lo que, una vez sancionada la respectiva ley se podrán  expedir los respectivos decretos adicionales que se requieran para reglamentar la materia. </w:t>
      </w:r>
    </w:p>
    <w:p w14:paraId="042B7788" w14:textId="77777777" w:rsidR="00C84CB7" w:rsidRDefault="00C84CB7">
      <w:pPr>
        <w:ind w:right="40"/>
        <w:jc w:val="both"/>
        <w:rPr>
          <w:rFonts w:ascii="Arial" w:eastAsia="Arial" w:hAnsi="Arial" w:cs="Arial"/>
        </w:rPr>
      </w:pPr>
    </w:p>
    <w:p w14:paraId="12955069" w14:textId="77777777" w:rsidR="00C84CB7" w:rsidRDefault="00C67A7D">
      <w:pPr>
        <w:jc w:val="both"/>
        <w:rPr>
          <w:rFonts w:ascii="Arial" w:eastAsia="Arial" w:hAnsi="Arial" w:cs="Arial"/>
        </w:rPr>
      </w:pPr>
      <w:r>
        <w:rPr>
          <w:rFonts w:ascii="Arial" w:eastAsia="Arial" w:hAnsi="Arial" w:cs="Arial"/>
          <w:highlight w:val="yellow"/>
        </w:rPr>
        <w:t>En cumplimiento del numeral 8 del artículo 8 de la Ley 1437 de 2011, se publicó el proyecto Decreto en el portal institucional del Municipio de Medellín desde el XX  de XX hasta el XX de XX de 2022, ambas fechas inclusive; presentándose observaciones que fueron oportunamente acogidas, de conformidad con las certificaciones expedidas.</w:t>
      </w:r>
    </w:p>
    <w:p w14:paraId="053A81DF" w14:textId="77777777" w:rsidR="00C84CB7" w:rsidRDefault="00C84CB7">
      <w:pPr>
        <w:jc w:val="both"/>
        <w:rPr>
          <w:rFonts w:ascii="Arial" w:eastAsia="Arial" w:hAnsi="Arial" w:cs="Arial"/>
          <w:b/>
        </w:rPr>
      </w:pPr>
    </w:p>
    <w:p w14:paraId="3095048E" w14:textId="77777777" w:rsidR="00C84CB7" w:rsidRDefault="00C67A7D">
      <w:pPr>
        <w:rPr>
          <w:rFonts w:ascii="Arial" w:eastAsia="Arial" w:hAnsi="Arial" w:cs="Arial"/>
          <w:b/>
        </w:rPr>
      </w:pPr>
      <w:r>
        <w:rPr>
          <w:rFonts w:ascii="Arial" w:eastAsia="Arial" w:hAnsi="Arial" w:cs="Arial"/>
        </w:rPr>
        <w:t xml:space="preserve">En mérito de lo expuesto, </w:t>
      </w:r>
    </w:p>
    <w:p w14:paraId="5FDC8C6F" w14:textId="77777777" w:rsidR="00C84CB7" w:rsidRDefault="00C84CB7">
      <w:pPr>
        <w:jc w:val="center"/>
        <w:rPr>
          <w:rFonts w:ascii="Arial" w:eastAsia="Arial" w:hAnsi="Arial" w:cs="Arial"/>
          <w:b/>
        </w:rPr>
      </w:pPr>
    </w:p>
    <w:p w14:paraId="2B0457CA" w14:textId="77777777" w:rsidR="00C84CB7" w:rsidRDefault="00C67A7D">
      <w:pPr>
        <w:jc w:val="center"/>
        <w:rPr>
          <w:rFonts w:ascii="Arial" w:eastAsia="Arial" w:hAnsi="Arial" w:cs="Arial"/>
          <w:b/>
        </w:rPr>
      </w:pPr>
      <w:r>
        <w:rPr>
          <w:rFonts w:ascii="Arial" w:eastAsia="Arial" w:hAnsi="Arial" w:cs="Arial"/>
          <w:b/>
        </w:rPr>
        <w:lastRenderedPageBreak/>
        <w:t>DECRETA</w:t>
      </w:r>
    </w:p>
    <w:p w14:paraId="60A8B593" w14:textId="77777777" w:rsidR="00C84CB7" w:rsidRDefault="00C84CB7">
      <w:pPr>
        <w:jc w:val="center"/>
        <w:rPr>
          <w:rFonts w:ascii="Arial" w:eastAsia="Arial" w:hAnsi="Arial" w:cs="Arial"/>
          <w:b/>
        </w:rPr>
      </w:pPr>
    </w:p>
    <w:p w14:paraId="434AB666" w14:textId="77777777" w:rsidR="00C84CB7" w:rsidRDefault="00C84CB7">
      <w:pPr>
        <w:jc w:val="center"/>
        <w:rPr>
          <w:rFonts w:ascii="Arial" w:eastAsia="Arial" w:hAnsi="Arial" w:cs="Arial"/>
          <w:b/>
        </w:rPr>
      </w:pPr>
    </w:p>
    <w:p w14:paraId="24443369" w14:textId="5375C87A" w:rsidR="00C84CB7" w:rsidRDefault="00C67A7D">
      <w:pPr>
        <w:jc w:val="both"/>
        <w:rPr>
          <w:rFonts w:ascii="Arial" w:eastAsia="Arial" w:hAnsi="Arial" w:cs="Arial"/>
          <w:b/>
        </w:rPr>
      </w:pPr>
      <w:r>
        <w:rPr>
          <w:rFonts w:ascii="Arial" w:eastAsia="Arial" w:hAnsi="Arial" w:cs="Arial"/>
          <w:b/>
        </w:rPr>
        <w:t xml:space="preserve">ARTÍCULO 1. </w:t>
      </w:r>
      <w:r w:rsidR="002C7FDC">
        <w:rPr>
          <w:rFonts w:ascii="Arial" w:eastAsia="Arial" w:hAnsi="Arial" w:cs="Arial"/>
        </w:rPr>
        <w:t xml:space="preserve">Adicionar </w:t>
      </w:r>
      <w:r>
        <w:rPr>
          <w:rFonts w:ascii="Arial" w:eastAsia="Arial" w:hAnsi="Arial" w:cs="Arial"/>
        </w:rPr>
        <w:t>el parágrafo 1 del artículo 1 del Decreto 096 del 2022, el cual quedará, así</w:t>
      </w:r>
      <w:r>
        <w:rPr>
          <w:rFonts w:ascii="Arial" w:eastAsia="Arial" w:hAnsi="Arial" w:cs="Arial"/>
          <w:b/>
        </w:rPr>
        <w:t>:</w:t>
      </w:r>
    </w:p>
    <w:p w14:paraId="6774FA24" w14:textId="77777777" w:rsidR="00C84CB7" w:rsidRDefault="00C84CB7">
      <w:pPr>
        <w:jc w:val="both"/>
        <w:rPr>
          <w:rFonts w:ascii="Arial" w:eastAsia="Arial" w:hAnsi="Arial" w:cs="Arial"/>
          <w:strike/>
        </w:rPr>
      </w:pPr>
    </w:p>
    <w:p w14:paraId="0DAD1D5C" w14:textId="77777777" w:rsidR="00C84CB7" w:rsidRDefault="00C67A7D">
      <w:pPr>
        <w:jc w:val="both"/>
        <w:rPr>
          <w:rFonts w:ascii="Arial" w:eastAsia="Arial" w:hAnsi="Arial" w:cs="Arial"/>
        </w:rPr>
      </w:pPr>
      <w:r>
        <w:rPr>
          <w:rFonts w:ascii="Arial" w:eastAsia="Arial" w:hAnsi="Arial" w:cs="Arial"/>
          <w:b/>
        </w:rPr>
        <w:t>PARÁGRAFO 1.</w:t>
      </w:r>
      <w:r>
        <w:rPr>
          <w:rFonts w:ascii="Arial" w:eastAsia="Arial" w:hAnsi="Arial" w:cs="Arial"/>
        </w:rPr>
        <w:t xml:space="preserve"> Serán destinatarios de los incentivos especiales descritos en este artículo, los educandos matriculados en los grados 11° a 1º de los establecimientos educativos oficiales.</w:t>
      </w:r>
    </w:p>
    <w:p w14:paraId="454C0393" w14:textId="77777777" w:rsidR="00C84CB7" w:rsidRDefault="00C84CB7">
      <w:pPr>
        <w:ind w:right="40"/>
        <w:jc w:val="both"/>
        <w:rPr>
          <w:rFonts w:ascii="Arial" w:eastAsia="Arial" w:hAnsi="Arial" w:cs="Arial"/>
        </w:rPr>
      </w:pPr>
    </w:p>
    <w:p w14:paraId="1031FE3D" w14:textId="77777777" w:rsidR="00C84CB7" w:rsidRDefault="00C67A7D">
      <w:pPr>
        <w:widowControl w:val="0"/>
        <w:jc w:val="both"/>
        <w:rPr>
          <w:rFonts w:ascii="Arial" w:eastAsia="Arial" w:hAnsi="Arial" w:cs="Arial"/>
        </w:rPr>
      </w:pPr>
      <w:bookmarkStart w:id="1" w:name="_30j0zll" w:colFirst="0" w:colLast="0"/>
      <w:bookmarkEnd w:id="1"/>
      <w:r>
        <w:rPr>
          <w:rFonts w:ascii="Arial" w:eastAsia="Arial" w:hAnsi="Arial" w:cs="Arial"/>
          <w:b/>
        </w:rPr>
        <w:t xml:space="preserve">ARTÍCULO 2. </w:t>
      </w:r>
      <w:r>
        <w:rPr>
          <w:rFonts w:ascii="Arial" w:eastAsia="Arial" w:hAnsi="Arial" w:cs="Arial"/>
        </w:rPr>
        <w:t>Adicionar los parágrafos 3 y 4 al artículo 2 del Decreto 096 del 2022</w:t>
      </w:r>
      <w:r>
        <w:rPr>
          <w:rFonts w:ascii="Arial" w:eastAsia="Arial" w:hAnsi="Arial" w:cs="Arial"/>
          <w:strike/>
        </w:rPr>
        <w:t xml:space="preserve">, </w:t>
      </w:r>
      <w:r>
        <w:rPr>
          <w:rFonts w:ascii="Arial" w:eastAsia="Arial" w:hAnsi="Arial" w:cs="Arial"/>
        </w:rPr>
        <w:t>así</w:t>
      </w:r>
    </w:p>
    <w:p w14:paraId="68F329D9" w14:textId="77777777" w:rsidR="00635865" w:rsidRDefault="00635865">
      <w:pPr>
        <w:widowControl w:val="0"/>
        <w:jc w:val="both"/>
        <w:rPr>
          <w:rFonts w:ascii="Arial" w:eastAsia="Arial" w:hAnsi="Arial" w:cs="Arial"/>
          <w:b/>
        </w:rPr>
      </w:pPr>
    </w:p>
    <w:p w14:paraId="539952CE" w14:textId="77777777" w:rsidR="00C84CB7" w:rsidRDefault="00C67A7D">
      <w:pPr>
        <w:ind w:right="40"/>
        <w:jc w:val="both"/>
        <w:rPr>
          <w:rFonts w:ascii="Arial" w:eastAsia="Arial" w:hAnsi="Arial" w:cs="Arial"/>
        </w:rPr>
      </w:pPr>
      <w:r>
        <w:rPr>
          <w:rFonts w:ascii="Arial" w:eastAsia="Arial" w:hAnsi="Arial" w:cs="Arial"/>
          <w:b/>
        </w:rPr>
        <w:t xml:space="preserve">PARÁGRAFO 3: </w:t>
      </w:r>
      <w:r>
        <w:rPr>
          <w:rFonts w:ascii="Arial" w:eastAsia="Arial" w:hAnsi="Arial" w:cs="Arial"/>
        </w:rPr>
        <w:t>En los casos de priorización por presupuesto participativo de los incentivos especiales para el fomento de la ciencia y la tecnología descritos en este decreto,</w:t>
      </w:r>
      <w:r>
        <w:rPr>
          <w:rFonts w:ascii="Arial" w:eastAsia="Arial" w:hAnsi="Arial" w:cs="Arial"/>
          <w:color w:val="000000"/>
        </w:rPr>
        <w:t xml:space="preserve"> no se aplicará el criterio expresado en el numeral 2.1 de ese artículo relativo al “índice de priorización territorial por comunas y corregimientos”</w:t>
      </w:r>
      <w:r>
        <w:rPr>
          <w:rFonts w:ascii="Arial" w:eastAsia="Arial" w:hAnsi="Arial" w:cs="Arial"/>
        </w:rPr>
        <w:t>.</w:t>
      </w:r>
    </w:p>
    <w:p w14:paraId="3C0A9508" w14:textId="77777777" w:rsidR="00C84CB7" w:rsidRDefault="00C84CB7">
      <w:pPr>
        <w:ind w:right="40"/>
        <w:jc w:val="both"/>
        <w:rPr>
          <w:rFonts w:ascii="Arial" w:eastAsia="Arial" w:hAnsi="Arial" w:cs="Arial"/>
        </w:rPr>
      </w:pPr>
    </w:p>
    <w:p w14:paraId="7D0438D5" w14:textId="77777777" w:rsidR="00C84CB7" w:rsidRDefault="00C67A7D">
      <w:pPr>
        <w:ind w:right="40"/>
        <w:jc w:val="both"/>
        <w:rPr>
          <w:rFonts w:ascii="Arial" w:eastAsia="Arial" w:hAnsi="Arial" w:cs="Arial"/>
        </w:rPr>
      </w:pPr>
      <w:r>
        <w:rPr>
          <w:rFonts w:ascii="Arial" w:eastAsia="Arial" w:hAnsi="Arial" w:cs="Arial"/>
          <w:b/>
        </w:rPr>
        <w:t>PARÁGRAFO 4:</w:t>
      </w:r>
      <w:r>
        <w:rPr>
          <w:rFonts w:ascii="Arial" w:eastAsia="Arial" w:hAnsi="Arial" w:cs="Arial"/>
        </w:rPr>
        <w:t xml:space="preserve"> En los casos que los incentivos especiales para el fomento de la ciencia y la tecnología descritos en este decreto sean insuficientes para cubrir la totalidad de los estudiantes de un grado de una institución educativa, se entregarán de acuerdo a los grupos de SISBÉN siguiendo el orden que inicia con A1 hasta D21. De presentarse empate entre posibles beneficiarios, se entregarán aplicando los siguientes </w:t>
      </w:r>
      <w:r>
        <w:rPr>
          <w:rFonts w:ascii="Arial" w:eastAsia="Arial" w:hAnsi="Arial" w:cs="Arial"/>
          <w:i/>
        </w:rPr>
        <w:t>criterios de desempate</w:t>
      </w:r>
      <w:r>
        <w:rPr>
          <w:rFonts w:ascii="Arial" w:eastAsia="Arial" w:hAnsi="Arial" w:cs="Arial"/>
        </w:rPr>
        <w:t xml:space="preserve"> en el orden referido: </w:t>
      </w:r>
    </w:p>
    <w:p w14:paraId="260536EC" w14:textId="77777777" w:rsidR="00C84CB7" w:rsidRDefault="00C84CB7">
      <w:pPr>
        <w:ind w:right="40"/>
        <w:jc w:val="both"/>
        <w:rPr>
          <w:rFonts w:ascii="Arial" w:eastAsia="Arial" w:hAnsi="Arial" w:cs="Arial"/>
        </w:rPr>
      </w:pPr>
    </w:p>
    <w:p w14:paraId="3118B2CF" w14:textId="77777777" w:rsidR="00C84CB7" w:rsidRDefault="00C67A7D">
      <w:pPr>
        <w:ind w:right="40" w:firstLine="720"/>
        <w:jc w:val="both"/>
        <w:rPr>
          <w:rFonts w:ascii="Arial" w:eastAsia="Arial" w:hAnsi="Arial" w:cs="Arial"/>
        </w:rPr>
      </w:pPr>
      <w:r>
        <w:rPr>
          <w:rFonts w:ascii="Arial" w:eastAsia="Arial" w:hAnsi="Arial" w:cs="Arial"/>
        </w:rPr>
        <w:t>a) Si el hogar no cuenta con computador.</w:t>
      </w:r>
    </w:p>
    <w:p w14:paraId="1B907615" w14:textId="77777777" w:rsidR="00C84CB7" w:rsidRDefault="00C67A7D">
      <w:pPr>
        <w:ind w:right="40" w:firstLine="720"/>
        <w:jc w:val="both"/>
        <w:rPr>
          <w:rFonts w:ascii="Arial" w:eastAsia="Arial" w:hAnsi="Arial" w:cs="Arial"/>
        </w:rPr>
      </w:pPr>
      <w:r>
        <w:rPr>
          <w:rFonts w:ascii="Arial" w:eastAsia="Arial" w:hAnsi="Arial" w:cs="Arial"/>
        </w:rPr>
        <w:t>b) Si el hogar no cuenta con internet.</w:t>
      </w:r>
    </w:p>
    <w:p w14:paraId="100ED707" w14:textId="77777777" w:rsidR="00C84CB7" w:rsidRDefault="00C67A7D">
      <w:pPr>
        <w:ind w:right="40" w:firstLine="720"/>
        <w:jc w:val="both"/>
        <w:rPr>
          <w:rFonts w:ascii="Arial" w:eastAsia="Arial" w:hAnsi="Arial" w:cs="Arial"/>
        </w:rPr>
      </w:pPr>
      <w:r>
        <w:rPr>
          <w:rFonts w:ascii="Arial" w:eastAsia="Arial" w:hAnsi="Arial" w:cs="Arial"/>
        </w:rPr>
        <w:t xml:space="preserve">c) Menor nivel educativo alcanzado en el hogar. </w:t>
      </w:r>
    </w:p>
    <w:p w14:paraId="245BE164" w14:textId="20667D5B" w:rsidR="00C84CB7" w:rsidRDefault="00C67A7D">
      <w:pPr>
        <w:ind w:right="40" w:firstLine="720"/>
        <w:jc w:val="both"/>
        <w:rPr>
          <w:rFonts w:ascii="Arial" w:eastAsia="Arial" w:hAnsi="Arial" w:cs="Arial"/>
        </w:rPr>
      </w:pPr>
      <w:r>
        <w:rPr>
          <w:rFonts w:ascii="Arial" w:eastAsia="Arial" w:hAnsi="Arial" w:cs="Arial"/>
        </w:rPr>
        <w:t>d) Mayor número total de personas en el hogar.</w:t>
      </w:r>
    </w:p>
    <w:p w14:paraId="73E2757E" w14:textId="77777777" w:rsidR="00C84CB7" w:rsidRDefault="00C84CB7">
      <w:pPr>
        <w:ind w:right="40" w:firstLine="720"/>
        <w:jc w:val="both"/>
        <w:rPr>
          <w:rFonts w:ascii="Arial" w:eastAsia="Arial" w:hAnsi="Arial" w:cs="Arial"/>
        </w:rPr>
      </w:pPr>
    </w:p>
    <w:p w14:paraId="51C25D81" w14:textId="6898E009" w:rsidR="00C84CB7" w:rsidRPr="00EE2110" w:rsidRDefault="00C67A7D">
      <w:pPr>
        <w:ind w:right="40"/>
        <w:jc w:val="both"/>
        <w:rPr>
          <w:rFonts w:ascii="Arial" w:eastAsia="Arial" w:hAnsi="Arial" w:cs="Arial"/>
        </w:rPr>
      </w:pPr>
      <w:r w:rsidRPr="00EE2110">
        <w:rPr>
          <w:rFonts w:ascii="Arial" w:eastAsia="Arial" w:hAnsi="Arial" w:cs="Arial"/>
          <w:b/>
        </w:rPr>
        <w:t xml:space="preserve">ARTÍCULO 3. </w:t>
      </w:r>
      <w:r w:rsidR="002C7FDC" w:rsidRPr="00EE2110">
        <w:rPr>
          <w:rFonts w:ascii="Arial" w:eastAsia="Arial" w:hAnsi="Arial" w:cs="Arial"/>
        </w:rPr>
        <w:t>Adicionar</w:t>
      </w:r>
      <w:r w:rsidRPr="00EE2110">
        <w:rPr>
          <w:rFonts w:ascii="Arial" w:eastAsia="Arial" w:hAnsi="Arial" w:cs="Arial"/>
        </w:rPr>
        <w:t xml:space="preserve"> el artículo 3, el cual quedará así:</w:t>
      </w:r>
    </w:p>
    <w:p w14:paraId="288A0C16" w14:textId="77777777" w:rsidR="00C84CB7" w:rsidRDefault="00C84CB7">
      <w:pPr>
        <w:ind w:right="40"/>
        <w:jc w:val="both"/>
        <w:rPr>
          <w:rFonts w:ascii="Arial" w:eastAsia="Arial" w:hAnsi="Arial" w:cs="Arial"/>
        </w:rPr>
      </w:pPr>
    </w:p>
    <w:p w14:paraId="52FE62E3" w14:textId="77777777" w:rsidR="00C84CB7" w:rsidRDefault="00C67A7D">
      <w:pPr>
        <w:ind w:right="40"/>
        <w:jc w:val="both"/>
        <w:rPr>
          <w:rFonts w:ascii="Arial" w:eastAsia="Arial" w:hAnsi="Arial" w:cs="Arial"/>
        </w:rPr>
      </w:pPr>
      <w:r>
        <w:rPr>
          <w:rFonts w:ascii="Arial" w:eastAsia="Arial" w:hAnsi="Arial" w:cs="Arial"/>
        </w:rPr>
        <w:t>“La Secretaría de Educación, con el apoyo de su Mesa de Ayuda, regulará la entrega y el seguimiento de los incentivos especiales para el fomento de la ciencia y la tecnología, precisando los mecanismos para el uso, control, apoyo, capacitación, reintegros y declaratoria de obsolescencia.</w:t>
      </w:r>
    </w:p>
    <w:p w14:paraId="04246F77" w14:textId="77777777" w:rsidR="00C84CB7" w:rsidRDefault="00C84CB7">
      <w:pPr>
        <w:ind w:right="40"/>
        <w:jc w:val="both"/>
        <w:rPr>
          <w:rFonts w:ascii="Arial" w:eastAsia="Arial" w:hAnsi="Arial" w:cs="Arial"/>
        </w:rPr>
      </w:pPr>
    </w:p>
    <w:p w14:paraId="04D4E946" w14:textId="77777777" w:rsidR="00C84CB7" w:rsidRDefault="00C67A7D">
      <w:pPr>
        <w:ind w:right="40"/>
        <w:jc w:val="both"/>
        <w:rPr>
          <w:rFonts w:ascii="Arial" w:eastAsia="Arial" w:hAnsi="Arial" w:cs="Arial"/>
        </w:rPr>
      </w:pPr>
      <w:r>
        <w:rPr>
          <w:rFonts w:ascii="Arial" w:eastAsia="Arial" w:hAnsi="Arial" w:cs="Arial"/>
        </w:rPr>
        <w:t>La Secretaría de Educación adoptará las herramientas y estrategias necesarias para verificar la correcta entrega y el buen uso de las herramientas tecnológicas en el hogar, para darle cumplimiento a las reglas generales en materia de administración de los bienes muebles y seguros del Distrito de Medellín o la norma que la modifique, derogue, complemente, adicione o sustituya.</w:t>
      </w:r>
    </w:p>
    <w:p w14:paraId="7705C904" w14:textId="77777777" w:rsidR="00C84CB7" w:rsidRDefault="00C84CB7">
      <w:pPr>
        <w:ind w:right="40"/>
        <w:jc w:val="both"/>
        <w:rPr>
          <w:rFonts w:ascii="Arial" w:eastAsia="Arial" w:hAnsi="Arial" w:cs="Arial"/>
        </w:rPr>
      </w:pPr>
    </w:p>
    <w:p w14:paraId="33FD8D33" w14:textId="77777777" w:rsidR="00C84CB7" w:rsidRDefault="00C67A7D">
      <w:pPr>
        <w:ind w:right="40"/>
        <w:jc w:val="both"/>
        <w:rPr>
          <w:rFonts w:ascii="Arial" w:eastAsia="Arial" w:hAnsi="Arial" w:cs="Arial"/>
        </w:rPr>
      </w:pPr>
      <w:r>
        <w:rPr>
          <w:rFonts w:ascii="Arial" w:eastAsia="Arial" w:hAnsi="Arial" w:cs="Arial"/>
        </w:rPr>
        <w:lastRenderedPageBreak/>
        <w:t xml:space="preserve">La entrega de las herramientas tecnológicas se realizará al inicio del calendario escolar. La entrega se realizará en las Instituciones Educativas con apoyo de los rectores y coordinadores. Cada Institución destinará los espacios necesarios para entrega, uso y almacenamiento. </w:t>
      </w:r>
    </w:p>
    <w:p w14:paraId="211EA2FD" w14:textId="77777777" w:rsidR="00C84CB7" w:rsidRDefault="00C84CB7">
      <w:pPr>
        <w:ind w:right="40"/>
        <w:jc w:val="both"/>
        <w:rPr>
          <w:rFonts w:ascii="Arial" w:eastAsia="Arial" w:hAnsi="Arial" w:cs="Arial"/>
        </w:rPr>
      </w:pPr>
    </w:p>
    <w:p w14:paraId="2F5F8600" w14:textId="0DEFB19D" w:rsidR="00C84CB7" w:rsidRDefault="00C67A7D">
      <w:pPr>
        <w:ind w:right="40"/>
        <w:jc w:val="both"/>
        <w:rPr>
          <w:rFonts w:ascii="Arial" w:eastAsia="Arial" w:hAnsi="Arial" w:cs="Arial"/>
        </w:rPr>
      </w:pPr>
      <w:r>
        <w:rPr>
          <w:rFonts w:ascii="Arial" w:eastAsia="Arial" w:hAnsi="Arial" w:cs="Arial"/>
          <w:b/>
        </w:rPr>
        <w:t>PARÁGRAFO 1.</w:t>
      </w:r>
      <w:r>
        <w:rPr>
          <w:rFonts w:ascii="Arial" w:eastAsia="Arial" w:hAnsi="Arial" w:cs="Arial"/>
        </w:rPr>
        <w:t xml:space="preserve"> Luego de la entrega, los estudiantes de los grados 1 a 10 que permanezcan en la matricula entre el </w:t>
      </w:r>
      <w:r w:rsidR="002C7FDC">
        <w:rPr>
          <w:rFonts w:ascii="Arial" w:eastAsia="Arial" w:hAnsi="Arial" w:cs="Arial"/>
        </w:rPr>
        <w:t xml:space="preserve">término </w:t>
      </w:r>
      <w:r>
        <w:rPr>
          <w:rFonts w:ascii="Arial" w:eastAsia="Arial" w:hAnsi="Arial" w:cs="Arial"/>
        </w:rPr>
        <w:t xml:space="preserve">y el inicio de los años lectivos, podrán seguir con la tenencia de la herramienta tecnológica. </w:t>
      </w:r>
    </w:p>
    <w:p w14:paraId="7EA4696A" w14:textId="77777777" w:rsidR="00C84CB7" w:rsidRDefault="00C84CB7">
      <w:pPr>
        <w:ind w:right="40"/>
        <w:jc w:val="both"/>
        <w:rPr>
          <w:rFonts w:ascii="Arial" w:eastAsia="Arial" w:hAnsi="Arial" w:cs="Arial"/>
        </w:rPr>
      </w:pPr>
    </w:p>
    <w:p w14:paraId="046D094A" w14:textId="0470248C" w:rsidR="00C84CB7" w:rsidRDefault="00C67A7D">
      <w:pPr>
        <w:ind w:right="40"/>
        <w:jc w:val="both"/>
        <w:rPr>
          <w:rFonts w:ascii="Arial" w:eastAsia="Arial" w:hAnsi="Arial" w:cs="Arial"/>
        </w:rPr>
      </w:pPr>
      <w:r>
        <w:rPr>
          <w:rFonts w:ascii="Arial" w:eastAsia="Arial" w:hAnsi="Arial" w:cs="Arial"/>
        </w:rPr>
        <w:t xml:space="preserve">Los estudiantes que no continúen o no permanezcan </w:t>
      </w:r>
      <w:r w:rsidR="00A46FE2">
        <w:rPr>
          <w:rFonts w:ascii="Arial" w:eastAsia="Arial" w:hAnsi="Arial" w:cs="Arial"/>
        </w:rPr>
        <w:t>matriculados</w:t>
      </w:r>
      <w:r>
        <w:rPr>
          <w:rFonts w:ascii="Arial" w:eastAsia="Arial" w:hAnsi="Arial" w:cs="Arial"/>
        </w:rPr>
        <w:t xml:space="preserve"> entre el t</w:t>
      </w:r>
      <w:r w:rsidR="002C7FDC">
        <w:rPr>
          <w:rFonts w:ascii="Arial" w:eastAsia="Arial" w:hAnsi="Arial" w:cs="Arial"/>
        </w:rPr>
        <w:t>é</w:t>
      </w:r>
      <w:r>
        <w:rPr>
          <w:rFonts w:ascii="Arial" w:eastAsia="Arial" w:hAnsi="Arial" w:cs="Arial"/>
        </w:rPr>
        <w:t>rmino y el inicio de los años lectivos</w:t>
      </w:r>
      <w:r w:rsidR="002F394B">
        <w:rPr>
          <w:rFonts w:ascii="Arial" w:eastAsia="Arial" w:hAnsi="Arial" w:cs="Arial"/>
        </w:rPr>
        <w:t>,</w:t>
      </w:r>
      <w:r>
        <w:rPr>
          <w:rFonts w:ascii="Arial" w:eastAsia="Arial" w:hAnsi="Arial" w:cs="Arial"/>
        </w:rPr>
        <w:t xml:space="preserve"> deberán reintegrar las herramientas tecnológicas dentro de los quince (15) días hábiles anteriores a la entrega de informes académicos en el último periodo escolar y/o grados. La Mesa de Ayuda, verificará el estado y el mantenimiento de los equipos, con el apoyo de los rectores y coordinadores de las Instituciones Educativas.</w:t>
      </w:r>
    </w:p>
    <w:p w14:paraId="660A0012" w14:textId="77777777" w:rsidR="00C84CB7" w:rsidRDefault="00C84CB7">
      <w:pPr>
        <w:ind w:right="40"/>
        <w:jc w:val="both"/>
        <w:rPr>
          <w:rFonts w:ascii="Arial" w:eastAsia="Arial" w:hAnsi="Arial" w:cs="Arial"/>
        </w:rPr>
      </w:pPr>
    </w:p>
    <w:p w14:paraId="28B1A87A" w14:textId="77777777" w:rsidR="00C84CB7" w:rsidRDefault="00C67A7D">
      <w:pPr>
        <w:ind w:right="40"/>
        <w:jc w:val="both"/>
        <w:rPr>
          <w:rFonts w:ascii="Arial" w:eastAsia="Arial" w:hAnsi="Arial" w:cs="Arial"/>
        </w:rPr>
      </w:pPr>
      <w:r>
        <w:rPr>
          <w:rFonts w:ascii="Arial" w:eastAsia="Arial" w:hAnsi="Arial" w:cs="Arial"/>
          <w:b/>
        </w:rPr>
        <w:t>PARÁGRAFO 2.</w:t>
      </w:r>
      <w:r>
        <w:rPr>
          <w:rFonts w:ascii="Arial" w:eastAsia="Arial" w:hAnsi="Arial" w:cs="Arial"/>
        </w:rPr>
        <w:t xml:space="preserve"> Para los estudiantes del grado 11, que demuestren su paso a una institución de educación postsecundaria o que demuestren el inicio de capacitación en el desarrollo y la gestión de competencias laborales sobre áreas relacionadas con la cuarta revolución industrial, podrán continuar como incentivo con la tenencia, uso y goce para su preparación académica y desarrollo laboral o profesional, en los términos definidos en la ley por medio de la cual se dictan disposiciones para el Distrito Especial de Ciencia, Tecnología e Innovación de Medellín y los actos administrativos que reglamenten.</w:t>
      </w:r>
    </w:p>
    <w:p w14:paraId="4299266A" w14:textId="77777777" w:rsidR="00C84CB7" w:rsidRDefault="00C84CB7">
      <w:pPr>
        <w:ind w:right="40"/>
        <w:jc w:val="both"/>
        <w:rPr>
          <w:rFonts w:ascii="Arial" w:eastAsia="Arial" w:hAnsi="Arial" w:cs="Arial"/>
        </w:rPr>
      </w:pPr>
    </w:p>
    <w:p w14:paraId="08637F09" w14:textId="77777777" w:rsidR="00C84CB7" w:rsidRDefault="00C67A7D">
      <w:pPr>
        <w:ind w:right="40"/>
        <w:jc w:val="both"/>
        <w:rPr>
          <w:rFonts w:ascii="Arial" w:eastAsia="Arial" w:hAnsi="Arial" w:cs="Arial"/>
        </w:rPr>
      </w:pPr>
      <w:r>
        <w:rPr>
          <w:rFonts w:ascii="Arial" w:eastAsia="Arial" w:hAnsi="Arial" w:cs="Arial"/>
        </w:rPr>
        <w:t>La Subsecretaría de Planeación Educativa y la Subsecretaría de Prestación del Servicio Educativo realizarán el seguimiento a los estudiantes de 11 para verificar que se cumplan los requisitos anteriormente mencionados y en consecuencia, la Mesa de Ayuda solicitará el descargue de los equipos del centro gestor y como activos de la administración municipal.</w:t>
      </w:r>
    </w:p>
    <w:p w14:paraId="6C0D3D88" w14:textId="77777777" w:rsidR="00C84CB7" w:rsidRDefault="00C84CB7">
      <w:pPr>
        <w:ind w:right="40"/>
        <w:jc w:val="both"/>
        <w:rPr>
          <w:rFonts w:ascii="Arial" w:eastAsia="Arial" w:hAnsi="Arial" w:cs="Arial"/>
        </w:rPr>
      </w:pPr>
    </w:p>
    <w:p w14:paraId="52FE6C43" w14:textId="77777777" w:rsidR="00C84CB7" w:rsidRDefault="00C67A7D">
      <w:pPr>
        <w:ind w:right="40"/>
        <w:jc w:val="both"/>
        <w:rPr>
          <w:rFonts w:ascii="Arial" w:eastAsia="Arial" w:hAnsi="Arial" w:cs="Arial"/>
        </w:rPr>
      </w:pPr>
      <w:r>
        <w:rPr>
          <w:rFonts w:ascii="Arial" w:eastAsia="Arial" w:hAnsi="Arial" w:cs="Arial"/>
          <w:b/>
        </w:rPr>
        <w:t>PARÁGRAFO 3.</w:t>
      </w:r>
      <w:r>
        <w:rPr>
          <w:rFonts w:ascii="Arial" w:eastAsia="Arial" w:hAnsi="Arial" w:cs="Arial"/>
        </w:rPr>
        <w:t xml:space="preserve"> La regulación que adopte la Secretaría de Educación precisará las condiciones del Acta de Entrega que deberán suscribir el supervisor, el rector y el acudiente o representante legal del estudiante. En esta acta se indicará el beneficiario del préstamo, la caracterización de la herramienta tecnológica, las buenas prácticas de uso y tenencia, y los compromisos de cuidado y reintegro.</w:t>
      </w:r>
    </w:p>
    <w:p w14:paraId="058C28E0" w14:textId="77777777" w:rsidR="00C84CB7" w:rsidRDefault="00C84CB7">
      <w:pPr>
        <w:ind w:right="40"/>
        <w:jc w:val="both"/>
        <w:rPr>
          <w:rFonts w:ascii="Arial" w:eastAsia="Arial" w:hAnsi="Arial" w:cs="Arial"/>
        </w:rPr>
      </w:pPr>
    </w:p>
    <w:p w14:paraId="6D08C761" w14:textId="77777777" w:rsidR="00C84CB7" w:rsidRDefault="00C67A7D">
      <w:pPr>
        <w:ind w:right="40"/>
        <w:jc w:val="both"/>
        <w:rPr>
          <w:rFonts w:ascii="Arial" w:eastAsia="Arial" w:hAnsi="Arial" w:cs="Arial"/>
        </w:rPr>
      </w:pPr>
      <w:r>
        <w:rPr>
          <w:rFonts w:ascii="Arial" w:eastAsia="Arial" w:hAnsi="Arial" w:cs="Arial"/>
          <w:b/>
        </w:rPr>
        <w:t>PARÁGRAFO 4.</w:t>
      </w:r>
      <w:r>
        <w:rPr>
          <w:rFonts w:ascii="Arial" w:eastAsia="Arial" w:hAnsi="Arial" w:cs="Arial"/>
        </w:rPr>
        <w:t xml:space="preserve"> La Mesa de Ayuda adscrita a la Unidad de Tecnología e Innovación de la Secretaría de Educación, semestralmente de forma física o remota, verificará el estado de las herramientas tecnológicas. Así mismo dispondrá de canales institucionales para atender los reportes de los estudiantes o acudientes.</w:t>
      </w:r>
    </w:p>
    <w:p w14:paraId="04D5C250" w14:textId="77777777" w:rsidR="00C84CB7" w:rsidRDefault="00C84CB7">
      <w:pPr>
        <w:ind w:right="40"/>
        <w:jc w:val="both"/>
        <w:rPr>
          <w:rFonts w:ascii="Arial" w:eastAsia="Arial" w:hAnsi="Arial" w:cs="Arial"/>
          <w:b/>
        </w:rPr>
      </w:pPr>
    </w:p>
    <w:p w14:paraId="178C2419" w14:textId="77777777" w:rsidR="00C84CB7" w:rsidRPr="00A46FE2" w:rsidRDefault="00C67A7D">
      <w:pPr>
        <w:ind w:right="40"/>
        <w:jc w:val="both"/>
        <w:rPr>
          <w:rFonts w:ascii="Arial" w:eastAsia="Arial" w:hAnsi="Arial" w:cs="Arial"/>
        </w:rPr>
      </w:pPr>
      <w:r w:rsidRPr="00A46FE2">
        <w:rPr>
          <w:rFonts w:ascii="Arial" w:eastAsia="Arial" w:hAnsi="Arial" w:cs="Arial"/>
          <w:b/>
        </w:rPr>
        <w:t>ARTÍCULO 4</w:t>
      </w:r>
      <w:r w:rsidRPr="00A46FE2">
        <w:rPr>
          <w:rFonts w:ascii="Arial" w:eastAsia="Arial" w:hAnsi="Arial" w:cs="Arial"/>
        </w:rPr>
        <w:t>. Adicionar el parágrafo 1 al artículo 4, el cual quedará así:</w:t>
      </w:r>
    </w:p>
    <w:p w14:paraId="76518CEC" w14:textId="77777777" w:rsidR="00C84CB7" w:rsidRDefault="00C84CB7">
      <w:pPr>
        <w:ind w:right="40"/>
        <w:jc w:val="both"/>
        <w:rPr>
          <w:rFonts w:ascii="Arial" w:eastAsia="Arial" w:hAnsi="Arial" w:cs="Arial"/>
          <w:b/>
          <w:sz w:val="24"/>
          <w:szCs w:val="24"/>
        </w:rPr>
      </w:pPr>
    </w:p>
    <w:p w14:paraId="319842A1" w14:textId="77777777" w:rsidR="00635865" w:rsidRDefault="00635865">
      <w:pPr>
        <w:ind w:right="40"/>
        <w:jc w:val="both"/>
        <w:rPr>
          <w:rFonts w:ascii="Arial" w:eastAsia="Arial" w:hAnsi="Arial" w:cs="Arial"/>
          <w:b/>
        </w:rPr>
      </w:pPr>
    </w:p>
    <w:p w14:paraId="3940EEEF" w14:textId="77777777" w:rsidR="00C84CB7" w:rsidRDefault="00C67A7D">
      <w:pPr>
        <w:ind w:right="40"/>
        <w:jc w:val="both"/>
        <w:rPr>
          <w:rFonts w:ascii="Arial" w:eastAsia="Arial" w:hAnsi="Arial" w:cs="Arial"/>
        </w:rPr>
      </w:pPr>
      <w:r>
        <w:rPr>
          <w:rFonts w:ascii="Arial" w:eastAsia="Arial" w:hAnsi="Arial" w:cs="Arial"/>
          <w:b/>
        </w:rPr>
        <w:t xml:space="preserve">PARÁGRAFO 1. </w:t>
      </w:r>
      <w:r>
        <w:rPr>
          <w:rFonts w:ascii="Arial" w:eastAsia="Arial" w:hAnsi="Arial" w:cs="Arial"/>
        </w:rPr>
        <w:t>La Secretaría de Educación en ejercicio de las competencias previstas en el numeral 5 del artículo 135 del Decreto 883 de 2015 modificado por el Decreto 863 de 2020, deberá generar la articulación para el acceso a la oferta internacional, nacional, del conglomerado distrital y con aliados privados en ciencia, tecnología e innovación y bilingüismo.</w:t>
      </w:r>
    </w:p>
    <w:p w14:paraId="0B1B1581" w14:textId="77777777" w:rsidR="00C84CB7" w:rsidRDefault="00C84CB7">
      <w:pPr>
        <w:ind w:right="40"/>
        <w:jc w:val="both"/>
        <w:rPr>
          <w:rFonts w:ascii="Arial" w:eastAsia="Arial" w:hAnsi="Arial" w:cs="Arial"/>
          <w:b/>
          <w:sz w:val="24"/>
          <w:szCs w:val="24"/>
        </w:rPr>
      </w:pPr>
    </w:p>
    <w:p w14:paraId="29149EB3" w14:textId="77777777" w:rsidR="00C84CB7" w:rsidRPr="00A46FE2" w:rsidRDefault="00C67A7D">
      <w:pPr>
        <w:ind w:right="40"/>
        <w:jc w:val="both"/>
        <w:rPr>
          <w:rFonts w:ascii="Arial" w:eastAsia="Arial" w:hAnsi="Arial" w:cs="Arial"/>
        </w:rPr>
      </w:pPr>
      <w:r w:rsidRPr="00A46FE2">
        <w:rPr>
          <w:rFonts w:ascii="Arial" w:eastAsia="Arial" w:hAnsi="Arial" w:cs="Arial"/>
          <w:b/>
        </w:rPr>
        <w:t>ARTÍCULO 5</w:t>
      </w:r>
      <w:r w:rsidRPr="00A46FE2">
        <w:rPr>
          <w:rFonts w:ascii="Arial" w:eastAsia="Arial" w:hAnsi="Arial" w:cs="Arial"/>
        </w:rPr>
        <w:t>.</w:t>
      </w:r>
      <w:r>
        <w:rPr>
          <w:rFonts w:ascii="Arial" w:eastAsia="Arial" w:hAnsi="Arial" w:cs="Arial"/>
        </w:rPr>
        <w:t xml:space="preserve"> </w:t>
      </w:r>
      <w:r w:rsidRPr="00A46FE2">
        <w:rPr>
          <w:rFonts w:ascii="Arial" w:eastAsia="Arial" w:hAnsi="Arial" w:cs="Arial"/>
        </w:rPr>
        <w:t>Los demás artículos del Decreto 096 del 2022, continúan con su vigencia, contenido y extensión dispuestos.</w:t>
      </w:r>
    </w:p>
    <w:p w14:paraId="171912A5" w14:textId="77777777" w:rsidR="00C84CB7" w:rsidRDefault="00C84CB7">
      <w:pPr>
        <w:jc w:val="both"/>
      </w:pPr>
    </w:p>
    <w:p w14:paraId="37ED00B6" w14:textId="77777777" w:rsidR="00C84CB7" w:rsidRDefault="00C84CB7">
      <w:pPr>
        <w:jc w:val="both"/>
        <w:rPr>
          <w:rFonts w:ascii="Arial" w:eastAsia="Arial" w:hAnsi="Arial" w:cs="Arial"/>
          <w:b/>
        </w:rPr>
      </w:pPr>
    </w:p>
    <w:p w14:paraId="1A410582" w14:textId="77777777" w:rsidR="00C84CB7" w:rsidRDefault="00C67A7D">
      <w:pPr>
        <w:jc w:val="both"/>
        <w:rPr>
          <w:rFonts w:ascii="Arial" w:eastAsia="Arial" w:hAnsi="Arial" w:cs="Arial"/>
        </w:rPr>
      </w:pPr>
      <w:r>
        <w:rPr>
          <w:rFonts w:ascii="Arial" w:eastAsia="Arial" w:hAnsi="Arial" w:cs="Arial"/>
          <w:b/>
        </w:rPr>
        <w:t>ARTÍCULO 6.</w:t>
      </w:r>
      <w:r>
        <w:rPr>
          <w:rFonts w:ascii="Arial" w:eastAsia="Arial" w:hAnsi="Arial" w:cs="Arial"/>
        </w:rPr>
        <w:t xml:space="preserve"> </w:t>
      </w:r>
      <w:r>
        <w:rPr>
          <w:rFonts w:ascii="Arial" w:eastAsia="Arial" w:hAnsi="Arial" w:cs="Arial"/>
          <w:b/>
        </w:rPr>
        <w:t xml:space="preserve">VIGENCIA. </w:t>
      </w:r>
      <w:r>
        <w:rPr>
          <w:rFonts w:ascii="Arial" w:eastAsia="Arial" w:hAnsi="Arial" w:cs="Arial"/>
        </w:rPr>
        <w:t xml:space="preserve">El presente decreto rige a partir de la fecha de publicación en la gaceta oficial. </w:t>
      </w:r>
    </w:p>
    <w:p w14:paraId="4B7D1954" w14:textId="77777777" w:rsidR="00C84CB7" w:rsidRDefault="00C84CB7">
      <w:pPr>
        <w:rPr>
          <w:rFonts w:ascii="Arial" w:eastAsia="Arial" w:hAnsi="Arial" w:cs="Arial"/>
          <w:b/>
        </w:rPr>
      </w:pPr>
    </w:p>
    <w:p w14:paraId="10B1FF77" w14:textId="77777777" w:rsidR="00C84CB7" w:rsidRDefault="00C67A7D">
      <w:pPr>
        <w:jc w:val="center"/>
        <w:rPr>
          <w:rFonts w:ascii="Arial" w:eastAsia="Arial" w:hAnsi="Arial" w:cs="Arial"/>
          <w:b/>
        </w:rPr>
      </w:pPr>
      <w:r>
        <w:rPr>
          <w:rFonts w:ascii="Arial" w:eastAsia="Arial" w:hAnsi="Arial" w:cs="Arial"/>
          <w:b/>
        </w:rPr>
        <w:t xml:space="preserve">PUBLÍQUESE Y CÚMPLASE </w:t>
      </w:r>
    </w:p>
    <w:p w14:paraId="17A234DA" w14:textId="77777777" w:rsidR="00C84CB7" w:rsidRDefault="00C84CB7">
      <w:pPr>
        <w:jc w:val="both"/>
        <w:rPr>
          <w:rFonts w:ascii="Arial" w:eastAsia="Arial" w:hAnsi="Arial" w:cs="Arial"/>
        </w:rPr>
      </w:pPr>
    </w:p>
    <w:p w14:paraId="44D24C26" w14:textId="77777777" w:rsidR="00C84CB7" w:rsidRDefault="00C84CB7">
      <w:pPr>
        <w:jc w:val="both"/>
        <w:rPr>
          <w:rFonts w:ascii="Arial" w:eastAsia="Arial" w:hAnsi="Arial" w:cs="Arial"/>
        </w:rPr>
      </w:pPr>
    </w:p>
    <w:p w14:paraId="52C031CC" w14:textId="77777777" w:rsidR="00C84CB7" w:rsidRDefault="00C84CB7">
      <w:pPr>
        <w:jc w:val="both"/>
        <w:rPr>
          <w:rFonts w:ascii="Arial" w:eastAsia="Arial" w:hAnsi="Arial" w:cs="Arial"/>
        </w:rPr>
      </w:pPr>
    </w:p>
    <w:p w14:paraId="32433521" w14:textId="77777777" w:rsidR="00C84CB7" w:rsidRDefault="00C84CB7">
      <w:pPr>
        <w:jc w:val="center"/>
        <w:rPr>
          <w:rFonts w:ascii="Arial" w:eastAsia="Arial" w:hAnsi="Arial" w:cs="Arial"/>
        </w:rPr>
      </w:pPr>
    </w:p>
    <w:p w14:paraId="5759FA8B" w14:textId="77777777" w:rsidR="00C84CB7" w:rsidRDefault="00C67A7D">
      <w:pPr>
        <w:jc w:val="center"/>
        <w:rPr>
          <w:rFonts w:ascii="Arial" w:eastAsia="Arial" w:hAnsi="Arial" w:cs="Arial"/>
          <w:b/>
        </w:rPr>
      </w:pPr>
      <w:r>
        <w:rPr>
          <w:rFonts w:ascii="Arial" w:eastAsia="Arial" w:hAnsi="Arial" w:cs="Arial"/>
          <w:b/>
        </w:rPr>
        <w:t xml:space="preserve">DANIEL QUINTERO CALLE </w:t>
      </w:r>
    </w:p>
    <w:p w14:paraId="31ED923F" w14:textId="77777777" w:rsidR="00C84CB7" w:rsidRDefault="00C67A7D">
      <w:pPr>
        <w:jc w:val="center"/>
        <w:rPr>
          <w:rFonts w:ascii="Arial" w:eastAsia="Arial" w:hAnsi="Arial" w:cs="Arial"/>
        </w:rPr>
      </w:pPr>
      <w:r>
        <w:rPr>
          <w:rFonts w:ascii="Arial" w:eastAsia="Arial" w:hAnsi="Arial" w:cs="Arial"/>
        </w:rPr>
        <w:t>Alcalde de Medellín</w:t>
      </w:r>
    </w:p>
    <w:p w14:paraId="02103602" w14:textId="77777777" w:rsidR="00C84CB7" w:rsidRDefault="00C84CB7">
      <w:pPr>
        <w:jc w:val="center"/>
        <w:rPr>
          <w:rFonts w:ascii="Arial" w:eastAsia="Arial" w:hAnsi="Arial" w:cs="Arial"/>
        </w:rPr>
      </w:pPr>
    </w:p>
    <w:p w14:paraId="42F4AA44" w14:textId="77777777" w:rsidR="00C84CB7" w:rsidRDefault="00C84CB7">
      <w:pPr>
        <w:jc w:val="center"/>
        <w:rPr>
          <w:rFonts w:ascii="Arial" w:eastAsia="Arial" w:hAnsi="Arial" w:cs="Arial"/>
        </w:rPr>
      </w:pPr>
    </w:p>
    <w:p w14:paraId="3F34CDBE" w14:textId="77777777" w:rsidR="00C84CB7" w:rsidRDefault="00C84CB7">
      <w:pPr>
        <w:jc w:val="center"/>
        <w:rPr>
          <w:rFonts w:ascii="Arial" w:eastAsia="Arial" w:hAnsi="Arial" w:cs="Arial"/>
        </w:rPr>
      </w:pPr>
    </w:p>
    <w:p w14:paraId="2BD9DB8F" w14:textId="77777777" w:rsidR="00C84CB7" w:rsidRDefault="00C67A7D">
      <w:pPr>
        <w:jc w:val="center"/>
        <w:rPr>
          <w:rFonts w:ascii="Arial" w:eastAsia="Arial" w:hAnsi="Arial" w:cs="Arial"/>
          <w:b/>
        </w:rPr>
      </w:pPr>
      <w:r>
        <w:rPr>
          <w:rFonts w:ascii="Arial" w:eastAsia="Arial" w:hAnsi="Arial" w:cs="Arial"/>
          <w:b/>
        </w:rPr>
        <w:t>MARTHA ALEXANDRA AGUDELO RUIZ</w:t>
      </w:r>
    </w:p>
    <w:p w14:paraId="5FC8D1FE" w14:textId="77777777" w:rsidR="00C84CB7" w:rsidRDefault="00C67A7D">
      <w:pPr>
        <w:jc w:val="center"/>
        <w:rPr>
          <w:rFonts w:ascii="Arial" w:eastAsia="Arial" w:hAnsi="Arial" w:cs="Arial"/>
        </w:rPr>
      </w:pPr>
      <w:r>
        <w:rPr>
          <w:rFonts w:ascii="Arial" w:eastAsia="Arial" w:hAnsi="Arial" w:cs="Arial"/>
        </w:rPr>
        <w:t>Secretaria de Educación</w:t>
      </w:r>
    </w:p>
    <w:p w14:paraId="362CDD55" w14:textId="77777777" w:rsidR="00C84CB7" w:rsidRDefault="00C67A7D">
      <w:pPr>
        <w:jc w:val="center"/>
        <w:rPr>
          <w:rFonts w:ascii="Arial" w:eastAsia="Arial" w:hAnsi="Arial" w:cs="Arial"/>
        </w:rPr>
      </w:pPr>
      <w:r>
        <w:rPr>
          <w:rFonts w:ascii="Arial" w:eastAsia="Arial" w:hAnsi="Arial" w:cs="Arial"/>
        </w:rPr>
        <w:t xml:space="preserve"> </w:t>
      </w:r>
    </w:p>
    <w:p w14:paraId="7233DA78" w14:textId="77777777" w:rsidR="00C84CB7" w:rsidRDefault="00C84CB7">
      <w:pPr>
        <w:jc w:val="center"/>
        <w:rPr>
          <w:rFonts w:ascii="Arial" w:eastAsia="Arial" w:hAnsi="Arial" w:cs="Arial"/>
        </w:rPr>
      </w:pPr>
    </w:p>
    <w:p w14:paraId="4A513091" w14:textId="77777777" w:rsidR="00C84CB7" w:rsidRDefault="00C84CB7">
      <w:pPr>
        <w:jc w:val="center"/>
        <w:rPr>
          <w:rFonts w:ascii="Arial" w:eastAsia="Arial" w:hAnsi="Arial" w:cs="Arial"/>
        </w:rPr>
      </w:pPr>
    </w:p>
    <w:p w14:paraId="35C26C00" w14:textId="77777777" w:rsidR="00C84CB7" w:rsidRDefault="00C67A7D">
      <w:pPr>
        <w:jc w:val="center"/>
        <w:rPr>
          <w:rFonts w:ascii="Arial" w:eastAsia="Arial" w:hAnsi="Arial" w:cs="Arial"/>
          <w:b/>
        </w:rPr>
      </w:pPr>
      <w:r>
        <w:rPr>
          <w:rFonts w:ascii="Arial" w:eastAsia="Arial" w:hAnsi="Arial" w:cs="Arial"/>
          <w:b/>
        </w:rPr>
        <w:t>KAREN BIBIANA DELGADO MANJARRES</w:t>
      </w:r>
    </w:p>
    <w:p w14:paraId="7EB61815" w14:textId="77777777" w:rsidR="00C84CB7" w:rsidRDefault="00C67A7D">
      <w:pPr>
        <w:jc w:val="center"/>
        <w:rPr>
          <w:rFonts w:ascii="Arial" w:eastAsia="Arial" w:hAnsi="Arial" w:cs="Arial"/>
        </w:rPr>
      </w:pPr>
      <w:r>
        <w:rPr>
          <w:rFonts w:ascii="Arial" w:eastAsia="Arial" w:hAnsi="Arial" w:cs="Arial"/>
        </w:rPr>
        <w:t>Secretaria de Suministros y Servicios</w:t>
      </w:r>
    </w:p>
    <w:p w14:paraId="2AC6E6E6" w14:textId="77777777" w:rsidR="00C84CB7" w:rsidRDefault="00C84CB7">
      <w:pPr>
        <w:jc w:val="center"/>
        <w:rPr>
          <w:rFonts w:ascii="Arial" w:eastAsia="Arial" w:hAnsi="Arial" w:cs="Arial"/>
        </w:rPr>
      </w:pPr>
    </w:p>
    <w:tbl>
      <w:tblPr>
        <w:tblStyle w:val="a"/>
        <w:tblW w:w="82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3174"/>
        <w:gridCol w:w="2539"/>
      </w:tblGrid>
      <w:tr w:rsidR="00C84CB7" w14:paraId="5FA8A315" w14:textId="77777777" w:rsidTr="00EE2110">
        <w:trPr>
          <w:trHeight w:val="162"/>
          <w:jc w:val="center"/>
        </w:trPr>
        <w:tc>
          <w:tcPr>
            <w:tcW w:w="2535" w:type="dxa"/>
            <w:tcBorders>
              <w:top w:val="single" w:sz="4" w:space="0" w:color="000000"/>
              <w:left w:val="single" w:sz="4" w:space="0" w:color="000000"/>
              <w:bottom w:val="single" w:sz="4" w:space="0" w:color="000000"/>
              <w:right w:val="single" w:sz="4" w:space="0" w:color="000000"/>
            </w:tcBorders>
            <w:vAlign w:val="center"/>
          </w:tcPr>
          <w:p w14:paraId="2D8287F2" w14:textId="77777777" w:rsidR="00C84CB7" w:rsidRDefault="00C67A7D">
            <w:pPr>
              <w:ind w:right="-68"/>
              <w:jc w:val="center"/>
              <w:rPr>
                <w:rFonts w:ascii="Arial" w:eastAsia="Arial" w:hAnsi="Arial" w:cs="Arial"/>
                <w:sz w:val="16"/>
                <w:szCs w:val="16"/>
              </w:rPr>
            </w:pPr>
            <w:r>
              <w:rPr>
                <w:rFonts w:ascii="Arial" w:eastAsia="Arial" w:hAnsi="Arial" w:cs="Arial"/>
                <w:b/>
                <w:sz w:val="16"/>
                <w:szCs w:val="16"/>
              </w:rPr>
              <w:t>Proyectó</w:t>
            </w:r>
            <w:r>
              <w:rPr>
                <w:rFonts w:ascii="Arial" w:eastAsia="Arial" w:hAnsi="Arial" w:cs="Arial"/>
                <w:sz w:val="16"/>
                <w:szCs w:val="16"/>
              </w:rPr>
              <w:t>:</w:t>
            </w:r>
          </w:p>
        </w:tc>
        <w:tc>
          <w:tcPr>
            <w:tcW w:w="3174" w:type="dxa"/>
            <w:tcBorders>
              <w:top w:val="single" w:sz="4" w:space="0" w:color="000000"/>
              <w:left w:val="single" w:sz="4" w:space="0" w:color="000000"/>
              <w:bottom w:val="single" w:sz="4" w:space="0" w:color="000000"/>
              <w:right w:val="single" w:sz="4" w:space="0" w:color="000000"/>
            </w:tcBorders>
            <w:vAlign w:val="center"/>
          </w:tcPr>
          <w:p w14:paraId="03A611AE" w14:textId="77777777" w:rsidR="00C84CB7" w:rsidRDefault="00C67A7D">
            <w:pPr>
              <w:tabs>
                <w:tab w:val="left" w:pos="142"/>
                <w:tab w:val="left" w:pos="284"/>
              </w:tabs>
              <w:ind w:right="-68"/>
              <w:jc w:val="center"/>
              <w:rPr>
                <w:rFonts w:ascii="Arial" w:eastAsia="Arial" w:hAnsi="Arial" w:cs="Arial"/>
                <w:sz w:val="16"/>
                <w:szCs w:val="16"/>
              </w:rPr>
            </w:pPr>
            <w:r>
              <w:rPr>
                <w:rFonts w:ascii="Arial" w:eastAsia="Arial" w:hAnsi="Arial" w:cs="Arial"/>
                <w:b/>
                <w:sz w:val="16"/>
                <w:szCs w:val="16"/>
              </w:rPr>
              <w:t>Revisó:</w:t>
            </w:r>
          </w:p>
        </w:tc>
        <w:tc>
          <w:tcPr>
            <w:tcW w:w="2539" w:type="dxa"/>
            <w:tcBorders>
              <w:top w:val="single" w:sz="4" w:space="0" w:color="000000"/>
              <w:left w:val="single" w:sz="4" w:space="0" w:color="000000"/>
              <w:bottom w:val="single" w:sz="4" w:space="0" w:color="000000"/>
              <w:right w:val="single" w:sz="4" w:space="0" w:color="000000"/>
            </w:tcBorders>
          </w:tcPr>
          <w:p w14:paraId="1500ED9F" w14:textId="77777777" w:rsidR="00C84CB7" w:rsidRDefault="00C67A7D">
            <w:pPr>
              <w:tabs>
                <w:tab w:val="left" w:pos="142"/>
                <w:tab w:val="left" w:pos="284"/>
              </w:tabs>
              <w:ind w:right="-68"/>
              <w:jc w:val="center"/>
              <w:rPr>
                <w:rFonts w:ascii="Arial" w:eastAsia="Arial" w:hAnsi="Arial" w:cs="Arial"/>
                <w:b/>
                <w:sz w:val="16"/>
                <w:szCs w:val="16"/>
              </w:rPr>
            </w:pPr>
            <w:r>
              <w:rPr>
                <w:rFonts w:ascii="Arial" w:eastAsia="Arial" w:hAnsi="Arial" w:cs="Arial"/>
                <w:b/>
                <w:sz w:val="16"/>
                <w:szCs w:val="16"/>
              </w:rPr>
              <w:t>Aprobó</w:t>
            </w:r>
            <w:r>
              <w:rPr>
                <w:rFonts w:ascii="Arial" w:eastAsia="Arial" w:hAnsi="Arial" w:cs="Arial"/>
                <w:sz w:val="16"/>
                <w:szCs w:val="16"/>
              </w:rPr>
              <w:t>:</w:t>
            </w:r>
          </w:p>
        </w:tc>
      </w:tr>
      <w:tr w:rsidR="00C84CB7" w14:paraId="498F465F" w14:textId="77777777" w:rsidTr="00EE2110">
        <w:trPr>
          <w:trHeight w:val="1042"/>
          <w:jc w:val="center"/>
        </w:trPr>
        <w:tc>
          <w:tcPr>
            <w:tcW w:w="2535" w:type="dxa"/>
            <w:tcBorders>
              <w:top w:val="single" w:sz="4" w:space="0" w:color="000000"/>
              <w:left w:val="single" w:sz="4" w:space="0" w:color="000000"/>
              <w:bottom w:val="single" w:sz="4" w:space="0" w:color="000000"/>
              <w:right w:val="single" w:sz="4" w:space="0" w:color="000000"/>
            </w:tcBorders>
            <w:vAlign w:val="center"/>
          </w:tcPr>
          <w:p w14:paraId="638550EA" w14:textId="77777777" w:rsidR="00C84CB7" w:rsidRDefault="00C67A7D">
            <w:pPr>
              <w:ind w:right="-68"/>
              <w:rPr>
                <w:rFonts w:ascii="Arial" w:eastAsia="Arial" w:hAnsi="Arial" w:cs="Arial"/>
                <w:sz w:val="16"/>
                <w:szCs w:val="16"/>
              </w:rPr>
            </w:pPr>
            <w:r>
              <w:rPr>
                <w:rFonts w:ascii="Arial" w:eastAsia="Arial" w:hAnsi="Arial" w:cs="Arial"/>
                <w:sz w:val="16"/>
                <w:szCs w:val="16"/>
              </w:rPr>
              <w:t>Camilo Franco Agudelo</w:t>
            </w:r>
          </w:p>
          <w:p w14:paraId="0C7E1D9E" w14:textId="77777777" w:rsidR="00C84CB7" w:rsidRDefault="00C67A7D">
            <w:pPr>
              <w:ind w:right="-68"/>
              <w:rPr>
                <w:rFonts w:ascii="Arial" w:eastAsia="Arial" w:hAnsi="Arial" w:cs="Arial"/>
                <w:sz w:val="16"/>
                <w:szCs w:val="16"/>
              </w:rPr>
            </w:pPr>
            <w:r>
              <w:rPr>
                <w:rFonts w:ascii="Arial" w:eastAsia="Arial" w:hAnsi="Arial" w:cs="Arial"/>
                <w:sz w:val="16"/>
                <w:szCs w:val="16"/>
              </w:rPr>
              <w:t>Abogado contratista</w:t>
            </w:r>
          </w:p>
          <w:p w14:paraId="5D42EC7F" w14:textId="77777777" w:rsidR="00C84CB7" w:rsidRDefault="00C67A7D">
            <w:pPr>
              <w:ind w:right="-68"/>
              <w:rPr>
                <w:rFonts w:ascii="Arial" w:eastAsia="Arial" w:hAnsi="Arial" w:cs="Arial"/>
                <w:sz w:val="16"/>
                <w:szCs w:val="16"/>
              </w:rPr>
            </w:pPr>
            <w:r>
              <w:rPr>
                <w:rFonts w:ascii="Arial" w:eastAsia="Arial" w:hAnsi="Arial" w:cs="Arial"/>
                <w:sz w:val="16"/>
                <w:szCs w:val="16"/>
              </w:rPr>
              <w:t>Secretaría de Educación</w:t>
            </w:r>
          </w:p>
          <w:p w14:paraId="6B77A385" w14:textId="77777777" w:rsidR="00C84CB7" w:rsidRDefault="00C84CB7">
            <w:pPr>
              <w:ind w:right="-68"/>
              <w:rPr>
                <w:rFonts w:ascii="Arial" w:eastAsia="Arial" w:hAnsi="Arial" w:cs="Arial"/>
                <w:sz w:val="16"/>
                <w:szCs w:val="16"/>
              </w:rPr>
            </w:pPr>
          </w:p>
          <w:p w14:paraId="67C907EC" w14:textId="77777777" w:rsidR="00C84CB7" w:rsidRDefault="00C67A7D">
            <w:pPr>
              <w:ind w:right="-68"/>
              <w:rPr>
                <w:rFonts w:ascii="Arial" w:eastAsia="Arial" w:hAnsi="Arial" w:cs="Arial"/>
                <w:sz w:val="16"/>
                <w:szCs w:val="16"/>
              </w:rPr>
            </w:pPr>
            <w:r>
              <w:rPr>
                <w:rFonts w:ascii="Arial" w:eastAsia="Arial" w:hAnsi="Arial" w:cs="Arial"/>
                <w:sz w:val="16"/>
                <w:szCs w:val="16"/>
              </w:rPr>
              <w:t>Germán Sánchez Ortiz</w:t>
            </w:r>
          </w:p>
          <w:p w14:paraId="2641C413" w14:textId="77777777" w:rsidR="00C84CB7" w:rsidRDefault="00C67A7D">
            <w:pPr>
              <w:ind w:right="-68"/>
              <w:rPr>
                <w:rFonts w:ascii="Arial" w:eastAsia="Arial" w:hAnsi="Arial" w:cs="Arial"/>
                <w:sz w:val="16"/>
                <w:szCs w:val="16"/>
              </w:rPr>
            </w:pPr>
            <w:r>
              <w:rPr>
                <w:rFonts w:ascii="Arial" w:eastAsia="Arial" w:hAnsi="Arial" w:cs="Arial"/>
                <w:sz w:val="16"/>
                <w:szCs w:val="16"/>
              </w:rPr>
              <w:t>Abogado contratista</w:t>
            </w:r>
          </w:p>
          <w:p w14:paraId="440BD07D" w14:textId="77777777" w:rsidR="00C84CB7" w:rsidRDefault="00C67A7D">
            <w:pPr>
              <w:ind w:right="-68"/>
              <w:rPr>
                <w:rFonts w:ascii="Arial" w:eastAsia="Arial" w:hAnsi="Arial" w:cs="Arial"/>
                <w:sz w:val="16"/>
                <w:szCs w:val="16"/>
              </w:rPr>
            </w:pPr>
            <w:r>
              <w:rPr>
                <w:rFonts w:ascii="Arial" w:eastAsia="Arial" w:hAnsi="Arial" w:cs="Arial"/>
                <w:sz w:val="16"/>
                <w:szCs w:val="16"/>
              </w:rPr>
              <w:t>Secretaría de Educación</w:t>
            </w:r>
          </w:p>
          <w:p w14:paraId="144A1F1C" w14:textId="77777777" w:rsidR="00C84CB7" w:rsidRDefault="00C84CB7">
            <w:pPr>
              <w:ind w:right="-68"/>
              <w:rPr>
                <w:rFonts w:ascii="Arial" w:eastAsia="Arial" w:hAnsi="Arial" w:cs="Arial"/>
                <w:sz w:val="16"/>
                <w:szCs w:val="16"/>
              </w:rPr>
            </w:pPr>
          </w:p>
          <w:p w14:paraId="7A982486" w14:textId="77777777" w:rsidR="00C84CB7" w:rsidRDefault="00C67A7D">
            <w:pPr>
              <w:ind w:right="-68"/>
              <w:rPr>
                <w:rFonts w:ascii="Arial" w:eastAsia="Arial" w:hAnsi="Arial" w:cs="Arial"/>
                <w:sz w:val="16"/>
                <w:szCs w:val="16"/>
              </w:rPr>
            </w:pPr>
            <w:proofErr w:type="spellStart"/>
            <w:r>
              <w:rPr>
                <w:rFonts w:ascii="Arial" w:eastAsia="Arial" w:hAnsi="Arial" w:cs="Arial"/>
                <w:sz w:val="16"/>
                <w:szCs w:val="16"/>
              </w:rPr>
              <w:t>Jhon</w:t>
            </w:r>
            <w:proofErr w:type="spellEnd"/>
            <w:r>
              <w:rPr>
                <w:rFonts w:ascii="Arial" w:eastAsia="Arial" w:hAnsi="Arial" w:cs="Arial"/>
                <w:sz w:val="16"/>
                <w:szCs w:val="16"/>
              </w:rPr>
              <w:t xml:space="preserve"> Mario Ferrer Murillo</w:t>
            </w:r>
          </w:p>
          <w:p w14:paraId="39BE2117" w14:textId="77777777" w:rsidR="00C84CB7" w:rsidRDefault="00C67A7D">
            <w:pPr>
              <w:ind w:right="-68"/>
              <w:rPr>
                <w:rFonts w:ascii="Arial" w:eastAsia="Arial" w:hAnsi="Arial" w:cs="Arial"/>
                <w:sz w:val="16"/>
                <w:szCs w:val="16"/>
              </w:rPr>
            </w:pPr>
            <w:r>
              <w:rPr>
                <w:rFonts w:ascii="Arial" w:eastAsia="Arial" w:hAnsi="Arial" w:cs="Arial"/>
                <w:sz w:val="16"/>
                <w:szCs w:val="16"/>
              </w:rPr>
              <w:t>Abogado contratista</w:t>
            </w:r>
          </w:p>
          <w:p w14:paraId="4E08454C" w14:textId="77777777" w:rsidR="00C84CB7" w:rsidRDefault="00C67A7D">
            <w:pPr>
              <w:ind w:right="-68"/>
              <w:rPr>
                <w:rFonts w:ascii="Arial" w:eastAsia="Arial" w:hAnsi="Arial" w:cs="Arial"/>
                <w:sz w:val="16"/>
                <w:szCs w:val="16"/>
              </w:rPr>
            </w:pPr>
            <w:r>
              <w:rPr>
                <w:rFonts w:ascii="Arial" w:eastAsia="Arial" w:hAnsi="Arial" w:cs="Arial"/>
                <w:sz w:val="16"/>
                <w:szCs w:val="16"/>
              </w:rPr>
              <w:t>Secretaría de suministros y Servicios</w:t>
            </w:r>
          </w:p>
          <w:p w14:paraId="6DFED928" w14:textId="41C02C47" w:rsidR="00C84CB7" w:rsidRDefault="00C84CB7">
            <w:pPr>
              <w:ind w:right="-68"/>
              <w:rPr>
                <w:rFonts w:ascii="Arial" w:eastAsia="Arial" w:hAnsi="Arial" w:cs="Arial"/>
                <w:sz w:val="16"/>
                <w:szCs w:val="16"/>
              </w:rPr>
            </w:pPr>
          </w:p>
        </w:tc>
        <w:tc>
          <w:tcPr>
            <w:tcW w:w="3174" w:type="dxa"/>
            <w:tcBorders>
              <w:top w:val="single" w:sz="4" w:space="0" w:color="000000"/>
              <w:left w:val="single" w:sz="4" w:space="0" w:color="000000"/>
              <w:bottom w:val="single" w:sz="4" w:space="0" w:color="000000"/>
              <w:right w:val="single" w:sz="4" w:space="0" w:color="000000"/>
            </w:tcBorders>
            <w:vAlign w:val="center"/>
          </w:tcPr>
          <w:p w14:paraId="64DDC618" w14:textId="77777777" w:rsidR="00C84CB7" w:rsidRDefault="00C67A7D">
            <w:pPr>
              <w:ind w:right="-68"/>
              <w:rPr>
                <w:rFonts w:ascii="Arial" w:eastAsia="Arial" w:hAnsi="Arial" w:cs="Arial"/>
                <w:sz w:val="16"/>
                <w:szCs w:val="16"/>
              </w:rPr>
            </w:pPr>
            <w:r>
              <w:rPr>
                <w:rFonts w:ascii="Arial" w:eastAsia="Arial" w:hAnsi="Arial" w:cs="Arial"/>
                <w:sz w:val="16"/>
                <w:szCs w:val="16"/>
              </w:rPr>
              <w:t xml:space="preserve">Mario Ferrer Murillo </w:t>
            </w:r>
          </w:p>
          <w:p w14:paraId="2B057C95" w14:textId="77777777" w:rsidR="00C84CB7" w:rsidRDefault="00C67A7D">
            <w:pPr>
              <w:ind w:right="-68"/>
              <w:rPr>
                <w:rFonts w:ascii="Arial" w:eastAsia="Arial" w:hAnsi="Arial" w:cs="Arial"/>
                <w:sz w:val="16"/>
                <w:szCs w:val="16"/>
              </w:rPr>
            </w:pPr>
            <w:r>
              <w:rPr>
                <w:rFonts w:ascii="Arial" w:eastAsia="Arial" w:hAnsi="Arial" w:cs="Arial"/>
                <w:sz w:val="16"/>
                <w:szCs w:val="16"/>
              </w:rPr>
              <w:t>Abogado contratista</w:t>
            </w:r>
          </w:p>
          <w:p w14:paraId="0C892F42" w14:textId="77777777" w:rsidR="00C84CB7" w:rsidRDefault="00C67A7D">
            <w:pPr>
              <w:ind w:right="-68"/>
              <w:rPr>
                <w:rFonts w:ascii="Arial" w:eastAsia="Arial" w:hAnsi="Arial" w:cs="Arial"/>
                <w:sz w:val="16"/>
                <w:szCs w:val="16"/>
              </w:rPr>
            </w:pPr>
            <w:r>
              <w:rPr>
                <w:rFonts w:ascii="Arial" w:eastAsia="Arial" w:hAnsi="Arial" w:cs="Arial"/>
                <w:sz w:val="16"/>
                <w:szCs w:val="16"/>
              </w:rPr>
              <w:t>Secretaria de Suministros y Servicios.</w:t>
            </w:r>
          </w:p>
          <w:p w14:paraId="05E6A343" w14:textId="77777777" w:rsidR="00C84CB7" w:rsidRDefault="00C84CB7">
            <w:pPr>
              <w:ind w:right="-68"/>
              <w:rPr>
                <w:rFonts w:ascii="Arial" w:eastAsia="Arial" w:hAnsi="Arial" w:cs="Arial"/>
                <w:sz w:val="16"/>
                <w:szCs w:val="16"/>
              </w:rPr>
            </w:pPr>
          </w:p>
          <w:p w14:paraId="7C120239" w14:textId="77777777" w:rsidR="00C84CB7" w:rsidRDefault="00C84CB7">
            <w:pPr>
              <w:ind w:right="-68"/>
              <w:rPr>
                <w:rFonts w:ascii="Arial" w:eastAsia="Arial" w:hAnsi="Arial" w:cs="Arial"/>
                <w:sz w:val="16"/>
                <w:szCs w:val="16"/>
              </w:rPr>
            </w:pPr>
          </w:p>
          <w:p w14:paraId="59EC5072" w14:textId="77777777" w:rsidR="00C84CB7" w:rsidRDefault="00C67A7D">
            <w:pPr>
              <w:ind w:right="-68"/>
              <w:rPr>
                <w:rFonts w:ascii="Arial" w:eastAsia="Arial" w:hAnsi="Arial" w:cs="Arial"/>
                <w:sz w:val="16"/>
                <w:szCs w:val="16"/>
              </w:rPr>
            </w:pPr>
            <w:r>
              <w:rPr>
                <w:rFonts w:ascii="Arial" w:eastAsia="Arial" w:hAnsi="Arial" w:cs="Arial"/>
                <w:sz w:val="16"/>
                <w:szCs w:val="16"/>
              </w:rPr>
              <w:t>Ana María Barrios</w:t>
            </w:r>
          </w:p>
          <w:p w14:paraId="59D71C79" w14:textId="77777777" w:rsidR="00C84CB7" w:rsidRDefault="00C67A7D">
            <w:pPr>
              <w:ind w:right="-68"/>
              <w:rPr>
                <w:rFonts w:ascii="Arial" w:eastAsia="Arial" w:hAnsi="Arial" w:cs="Arial"/>
                <w:sz w:val="16"/>
                <w:szCs w:val="16"/>
              </w:rPr>
            </w:pPr>
            <w:r>
              <w:rPr>
                <w:rFonts w:ascii="Arial" w:eastAsia="Arial" w:hAnsi="Arial" w:cs="Arial"/>
                <w:sz w:val="16"/>
                <w:szCs w:val="16"/>
              </w:rPr>
              <w:t>Contratista</w:t>
            </w:r>
          </w:p>
          <w:p w14:paraId="2C6C3FD9" w14:textId="77777777" w:rsidR="00C84CB7" w:rsidRDefault="00C67A7D">
            <w:pPr>
              <w:ind w:right="-68"/>
              <w:rPr>
                <w:rFonts w:ascii="Arial" w:eastAsia="Arial" w:hAnsi="Arial" w:cs="Arial"/>
                <w:sz w:val="16"/>
                <w:szCs w:val="16"/>
              </w:rPr>
            </w:pPr>
            <w:r>
              <w:rPr>
                <w:rFonts w:ascii="Arial" w:eastAsia="Arial" w:hAnsi="Arial" w:cs="Arial"/>
                <w:sz w:val="16"/>
                <w:szCs w:val="16"/>
              </w:rPr>
              <w:t>Proyectos Estratégicos</w:t>
            </w:r>
          </w:p>
          <w:p w14:paraId="4FDA4544" w14:textId="77777777" w:rsidR="00C84CB7" w:rsidRDefault="00C84CB7">
            <w:pPr>
              <w:ind w:right="-68"/>
              <w:rPr>
                <w:rFonts w:ascii="Arial" w:eastAsia="Arial" w:hAnsi="Arial" w:cs="Arial"/>
                <w:sz w:val="16"/>
                <w:szCs w:val="16"/>
              </w:rPr>
            </w:pPr>
          </w:p>
        </w:tc>
        <w:tc>
          <w:tcPr>
            <w:tcW w:w="2539" w:type="dxa"/>
            <w:tcBorders>
              <w:top w:val="single" w:sz="4" w:space="0" w:color="000000"/>
              <w:left w:val="single" w:sz="4" w:space="0" w:color="000000"/>
              <w:bottom w:val="single" w:sz="4" w:space="0" w:color="000000"/>
              <w:right w:val="single" w:sz="4" w:space="0" w:color="000000"/>
            </w:tcBorders>
          </w:tcPr>
          <w:p w14:paraId="03A02EF4" w14:textId="77777777" w:rsidR="00C84CB7" w:rsidRDefault="00C84CB7">
            <w:pPr>
              <w:tabs>
                <w:tab w:val="left" w:pos="142"/>
                <w:tab w:val="left" w:pos="284"/>
              </w:tabs>
              <w:ind w:right="-68"/>
              <w:rPr>
                <w:rFonts w:ascii="Arial" w:eastAsia="Arial" w:hAnsi="Arial" w:cs="Arial"/>
                <w:sz w:val="16"/>
                <w:szCs w:val="16"/>
              </w:rPr>
            </w:pPr>
          </w:p>
          <w:p w14:paraId="3335F3AC" w14:textId="77777777" w:rsidR="00C84CB7" w:rsidRDefault="00C84CB7">
            <w:pPr>
              <w:ind w:right="-68"/>
              <w:rPr>
                <w:rFonts w:ascii="Arial" w:eastAsia="Arial" w:hAnsi="Arial" w:cs="Arial"/>
                <w:sz w:val="16"/>
                <w:szCs w:val="16"/>
              </w:rPr>
            </w:pPr>
          </w:p>
          <w:p w14:paraId="37D1EDB1" w14:textId="77777777" w:rsidR="00C84CB7" w:rsidRDefault="00C67A7D">
            <w:pPr>
              <w:ind w:right="-68"/>
              <w:rPr>
                <w:rFonts w:ascii="Arial" w:eastAsia="Arial" w:hAnsi="Arial" w:cs="Arial"/>
                <w:sz w:val="16"/>
                <w:szCs w:val="16"/>
              </w:rPr>
            </w:pPr>
            <w:r>
              <w:rPr>
                <w:rFonts w:ascii="Arial" w:eastAsia="Arial" w:hAnsi="Arial" w:cs="Arial"/>
                <w:sz w:val="16"/>
                <w:szCs w:val="16"/>
              </w:rPr>
              <w:t>Fabio Andrés García Trujillo</w:t>
            </w:r>
          </w:p>
          <w:p w14:paraId="0B9881D6" w14:textId="77777777" w:rsidR="00C84CB7" w:rsidRDefault="00C67A7D">
            <w:pPr>
              <w:ind w:right="-68"/>
              <w:rPr>
                <w:rFonts w:ascii="Arial" w:eastAsia="Arial" w:hAnsi="Arial" w:cs="Arial"/>
                <w:sz w:val="16"/>
                <w:szCs w:val="16"/>
              </w:rPr>
            </w:pPr>
            <w:r>
              <w:rPr>
                <w:rFonts w:ascii="Arial" w:eastAsia="Arial" w:hAnsi="Arial" w:cs="Arial"/>
                <w:sz w:val="16"/>
                <w:szCs w:val="16"/>
              </w:rPr>
              <w:t>Subsecretario de Ejecución de la Contratación-Secretaría de Suministros y Servicios</w:t>
            </w:r>
          </w:p>
          <w:p w14:paraId="74B99CBF" w14:textId="77777777" w:rsidR="00C84CB7" w:rsidRDefault="00C84CB7">
            <w:pPr>
              <w:ind w:right="-68"/>
              <w:rPr>
                <w:rFonts w:ascii="Arial" w:eastAsia="Arial" w:hAnsi="Arial" w:cs="Arial"/>
                <w:sz w:val="16"/>
                <w:szCs w:val="16"/>
              </w:rPr>
            </w:pPr>
          </w:p>
          <w:p w14:paraId="0FBF3976" w14:textId="77777777" w:rsidR="00C84CB7" w:rsidRDefault="00C67A7D">
            <w:pPr>
              <w:ind w:right="-68"/>
              <w:rPr>
                <w:rFonts w:ascii="Arial" w:eastAsia="Arial" w:hAnsi="Arial" w:cs="Arial"/>
                <w:sz w:val="16"/>
                <w:szCs w:val="16"/>
              </w:rPr>
            </w:pPr>
            <w:r>
              <w:rPr>
                <w:rFonts w:ascii="Arial" w:eastAsia="Arial" w:hAnsi="Arial" w:cs="Arial"/>
                <w:sz w:val="16"/>
                <w:szCs w:val="16"/>
              </w:rPr>
              <w:t>Juan David Agudelo Restrepo</w:t>
            </w:r>
          </w:p>
          <w:p w14:paraId="360C10E6" w14:textId="77777777" w:rsidR="00C84CB7" w:rsidRDefault="00C67A7D">
            <w:pPr>
              <w:ind w:right="-68"/>
              <w:rPr>
                <w:rFonts w:ascii="Arial" w:eastAsia="Arial" w:hAnsi="Arial" w:cs="Arial"/>
                <w:sz w:val="16"/>
                <w:szCs w:val="16"/>
              </w:rPr>
            </w:pPr>
            <w:r>
              <w:rPr>
                <w:rFonts w:ascii="Arial" w:eastAsia="Arial" w:hAnsi="Arial" w:cs="Arial"/>
                <w:sz w:val="16"/>
                <w:szCs w:val="16"/>
              </w:rPr>
              <w:t>Subsecretario Administrativo y Financiero-Secretaría de Educación</w:t>
            </w:r>
          </w:p>
          <w:p w14:paraId="07F127C4" w14:textId="77777777" w:rsidR="00C84CB7" w:rsidRDefault="00C84CB7">
            <w:pPr>
              <w:ind w:right="-68"/>
              <w:rPr>
                <w:rFonts w:ascii="Arial" w:eastAsia="Arial" w:hAnsi="Arial" w:cs="Arial"/>
                <w:sz w:val="16"/>
                <w:szCs w:val="16"/>
              </w:rPr>
            </w:pPr>
          </w:p>
        </w:tc>
      </w:tr>
    </w:tbl>
    <w:p w14:paraId="3A8F6BCF" w14:textId="77777777" w:rsidR="00C84CB7" w:rsidRDefault="00C84CB7">
      <w:bookmarkStart w:id="2" w:name="_GoBack"/>
      <w:bookmarkEnd w:id="2"/>
    </w:p>
    <w:sectPr w:rsidR="00C84CB7">
      <w:headerReference w:type="even" r:id="rId7"/>
      <w:headerReference w:type="default" r:id="rId8"/>
      <w:footerReference w:type="even" r:id="rId9"/>
      <w:footerReference w:type="default" r:id="rId10"/>
      <w:headerReference w:type="first" r:id="rId11"/>
      <w:footerReference w:type="first" r:id="rId12"/>
      <w:pgSz w:w="12240" w:h="15840"/>
      <w:pgMar w:top="3119" w:right="1797" w:bottom="805" w:left="1797" w:header="425" w:footer="2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2F882" w14:textId="77777777" w:rsidR="000306B1" w:rsidRDefault="000306B1">
      <w:r>
        <w:separator/>
      </w:r>
    </w:p>
  </w:endnote>
  <w:endnote w:type="continuationSeparator" w:id="0">
    <w:p w14:paraId="7D96022B" w14:textId="77777777" w:rsidR="000306B1" w:rsidRDefault="00030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5B2BA" w14:textId="77777777" w:rsidR="00C84CB7" w:rsidRDefault="00C84CB7">
    <w:pPr>
      <w:pBdr>
        <w:top w:val="nil"/>
        <w:left w:val="nil"/>
        <w:bottom w:val="nil"/>
        <w:right w:val="nil"/>
        <w:between w:val="nil"/>
      </w:pBdr>
      <w:tabs>
        <w:tab w:val="center" w:pos="4320"/>
        <w:tab w:val="right" w:pos="8640"/>
      </w:tabs>
      <w:rPr>
        <w:rFonts w:ascii="Cambria" w:eastAsia="Cambria" w:hAnsi="Cambria" w:cs="Cambria"/>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A531A" w14:textId="77777777" w:rsidR="00C84CB7" w:rsidRDefault="00C67A7D">
    <w:pPr>
      <w:pBdr>
        <w:top w:val="nil"/>
        <w:left w:val="nil"/>
        <w:bottom w:val="nil"/>
        <w:right w:val="nil"/>
        <w:between w:val="nil"/>
      </w:pBdr>
      <w:tabs>
        <w:tab w:val="center" w:pos="4320"/>
        <w:tab w:val="right" w:pos="8640"/>
      </w:tabs>
      <w:ind w:hanging="1350"/>
      <w:rPr>
        <w:rFonts w:ascii="Cambria" w:eastAsia="Cambria" w:hAnsi="Cambria" w:cs="Cambria"/>
        <w:color w:val="000000"/>
        <w:sz w:val="24"/>
        <w:szCs w:val="24"/>
      </w:rPr>
    </w:pPr>
    <w:r>
      <w:rPr>
        <w:rFonts w:ascii="Cambria" w:eastAsia="Cambria" w:hAnsi="Cambria" w:cs="Cambria"/>
        <w:noProof/>
        <w:color w:val="000000"/>
        <w:sz w:val="24"/>
        <w:szCs w:val="24"/>
      </w:rPr>
      <w:drawing>
        <wp:inline distT="0" distB="0" distL="0" distR="0" wp14:anchorId="676630FD" wp14:editId="56725A7C">
          <wp:extent cx="45756" cy="915116"/>
          <wp:effectExtent l="0" t="0" r="0" b="0"/>
          <wp:docPr id="1" name="image1.png" descr="Macintosh HD:Users:davidsalazar:Desktop:PAPELERIA ALCALDIA:ARTE HOJA CARTA_Folder:Links:pata HOJA CARTA.jpg"/>
          <wp:cNvGraphicFramePr/>
          <a:graphic xmlns:a="http://schemas.openxmlformats.org/drawingml/2006/main">
            <a:graphicData uri="http://schemas.openxmlformats.org/drawingml/2006/picture">
              <pic:pic xmlns:pic="http://schemas.openxmlformats.org/drawingml/2006/picture">
                <pic:nvPicPr>
                  <pic:cNvPr id="0" name="image1.png" descr="Macintosh HD:Users:davidsalazar:Desktop:PAPELERIA ALCALDIA:ARTE HOJA CARTA_Folder:Links:pata HOJA CARTA.jpg"/>
                  <pic:cNvPicPr preferRelativeResize="0"/>
                </pic:nvPicPr>
                <pic:blipFill>
                  <a:blip r:embed="rId1"/>
                  <a:srcRect l="100000" r="-619"/>
                  <a:stretch>
                    <a:fillRect/>
                  </a:stretch>
                </pic:blipFill>
                <pic:spPr>
                  <a:xfrm>
                    <a:off x="0" y="0"/>
                    <a:ext cx="45756" cy="915116"/>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EE765" w14:textId="77777777" w:rsidR="00C84CB7" w:rsidRDefault="00C84CB7">
    <w:pPr>
      <w:pBdr>
        <w:top w:val="nil"/>
        <w:left w:val="nil"/>
        <w:bottom w:val="nil"/>
        <w:right w:val="nil"/>
        <w:between w:val="nil"/>
      </w:pBdr>
      <w:tabs>
        <w:tab w:val="center" w:pos="4320"/>
        <w:tab w:val="right" w:pos="8640"/>
      </w:tabs>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BE5F3" w14:textId="77777777" w:rsidR="000306B1" w:rsidRDefault="000306B1">
      <w:r>
        <w:separator/>
      </w:r>
    </w:p>
  </w:footnote>
  <w:footnote w:type="continuationSeparator" w:id="0">
    <w:p w14:paraId="79F4CF7F" w14:textId="77777777" w:rsidR="000306B1" w:rsidRDefault="000306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27267" w14:textId="77777777" w:rsidR="00C84CB7" w:rsidRDefault="000306B1">
    <w:pPr>
      <w:pBdr>
        <w:top w:val="nil"/>
        <w:left w:val="nil"/>
        <w:bottom w:val="nil"/>
        <w:right w:val="nil"/>
        <w:between w:val="nil"/>
      </w:pBdr>
      <w:tabs>
        <w:tab w:val="center" w:pos="4320"/>
        <w:tab w:val="right" w:pos="8640"/>
      </w:tabs>
      <w:rPr>
        <w:rFonts w:ascii="Cambria" w:eastAsia="Cambria" w:hAnsi="Cambria" w:cs="Cambria"/>
        <w:color w:val="000000"/>
        <w:sz w:val="24"/>
        <w:szCs w:val="24"/>
      </w:rPr>
    </w:pPr>
    <w:r>
      <w:rPr>
        <w:rFonts w:ascii="Cambria" w:eastAsia="Cambria" w:hAnsi="Cambria" w:cs="Cambria"/>
        <w:color w:val="000000"/>
        <w:sz w:val="24"/>
        <w:szCs w:val="24"/>
      </w:rPr>
      <w:pict w14:anchorId="1567D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95pt;height:793.45pt;z-index:-251658240;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136E6" w14:textId="77777777" w:rsidR="00C84CB7" w:rsidRDefault="00C67A7D">
    <w:pPr>
      <w:pBdr>
        <w:top w:val="nil"/>
        <w:left w:val="nil"/>
        <w:bottom w:val="nil"/>
        <w:right w:val="nil"/>
        <w:between w:val="nil"/>
      </w:pBdr>
      <w:tabs>
        <w:tab w:val="center" w:pos="4320"/>
        <w:tab w:val="right" w:pos="8640"/>
      </w:tabs>
      <w:ind w:firstLine="142"/>
      <w:jc w:val="center"/>
      <w:rPr>
        <w:rFonts w:ascii="Cambria" w:eastAsia="Cambria" w:hAnsi="Cambria" w:cs="Cambria"/>
        <w:color w:val="000000"/>
        <w:sz w:val="24"/>
        <w:szCs w:val="24"/>
      </w:rPr>
    </w:pPr>
    <w:r>
      <w:rPr>
        <w:noProof/>
      </w:rPr>
      <w:drawing>
        <wp:anchor distT="0" distB="0" distL="0" distR="0" simplePos="0" relativeHeight="251657216" behindDoc="1" locked="0" layoutInCell="1" hidden="0" allowOverlap="1" wp14:anchorId="4C66A413" wp14:editId="18B15DBF">
          <wp:simplePos x="0" y="0"/>
          <wp:positionH relativeFrom="column">
            <wp:posOffset>-1204888</wp:posOffset>
          </wp:positionH>
          <wp:positionV relativeFrom="paragraph">
            <wp:posOffset>-269873</wp:posOffset>
          </wp:positionV>
          <wp:extent cx="7772399" cy="10054457"/>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72399" cy="10054457"/>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9206D" w14:textId="77777777" w:rsidR="00C84CB7" w:rsidRDefault="00C84CB7">
    <w:pPr>
      <w:pBdr>
        <w:top w:val="nil"/>
        <w:left w:val="nil"/>
        <w:bottom w:val="nil"/>
        <w:right w:val="nil"/>
        <w:between w:val="nil"/>
      </w:pBdr>
      <w:tabs>
        <w:tab w:val="center" w:pos="4320"/>
        <w:tab w:val="right" w:pos="8640"/>
      </w:tabs>
      <w:rPr>
        <w:rFonts w:ascii="Cambria" w:eastAsia="Cambria" w:hAnsi="Cambria" w:cs="Cambria"/>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CB7"/>
    <w:rsid w:val="000306B1"/>
    <w:rsid w:val="000C5BB9"/>
    <w:rsid w:val="00117410"/>
    <w:rsid w:val="001C7811"/>
    <w:rsid w:val="001F1D3F"/>
    <w:rsid w:val="00295FEE"/>
    <w:rsid w:val="002C7FDC"/>
    <w:rsid w:val="002F394B"/>
    <w:rsid w:val="00426553"/>
    <w:rsid w:val="00467F44"/>
    <w:rsid w:val="00635865"/>
    <w:rsid w:val="00640347"/>
    <w:rsid w:val="007F0096"/>
    <w:rsid w:val="009F3516"/>
    <w:rsid w:val="00A1161E"/>
    <w:rsid w:val="00A46FE2"/>
    <w:rsid w:val="00A65CC5"/>
    <w:rsid w:val="00BC56FC"/>
    <w:rsid w:val="00C67A7D"/>
    <w:rsid w:val="00C84CB7"/>
    <w:rsid w:val="00CA38F0"/>
    <w:rsid w:val="00E654B6"/>
    <w:rsid w:val="00E87370"/>
    <w:rsid w:val="00EE2110"/>
    <w:rsid w:val="00EF7DEC"/>
    <w:rsid w:val="00F632F8"/>
    <w:rsid w:val="00FF38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9AFEB77"/>
  <w15:docId w15:val="{098C8323-DFF7-4E9D-BC3F-11D93359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outlineLvl w:val="2"/>
    </w:pPr>
    <w:rPr>
      <w:rFonts w:ascii="Times New Roman" w:eastAsia="Times New Roman" w:hAnsi="Times New Roman" w:cs="Times New Roman"/>
      <w:b/>
      <w:sz w:val="27"/>
      <w:szCs w:val="27"/>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rPr>
      <w:sz w:val="56"/>
      <w:szCs w:val="5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Refdecomentario">
    <w:name w:val="annotation reference"/>
    <w:basedOn w:val="Fuentedeprrafopredeter"/>
    <w:uiPriority w:val="99"/>
    <w:semiHidden/>
    <w:unhideWhenUsed/>
    <w:rsid w:val="001C7811"/>
    <w:rPr>
      <w:sz w:val="16"/>
      <w:szCs w:val="16"/>
    </w:rPr>
  </w:style>
  <w:style w:type="paragraph" w:styleId="Textocomentario">
    <w:name w:val="annotation text"/>
    <w:basedOn w:val="Normal"/>
    <w:link w:val="TextocomentarioCar"/>
    <w:uiPriority w:val="99"/>
    <w:semiHidden/>
    <w:unhideWhenUsed/>
    <w:rsid w:val="001C7811"/>
    <w:rPr>
      <w:sz w:val="20"/>
      <w:szCs w:val="20"/>
    </w:rPr>
  </w:style>
  <w:style w:type="character" w:customStyle="1" w:styleId="TextocomentarioCar">
    <w:name w:val="Texto comentario Car"/>
    <w:basedOn w:val="Fuentedeprrafopredeter"/>
    <w:link w:val="Textocomentario"/>
    <w:uiPriority w:val="99"/>
    <w:semiHidden/>
    <w:rsid w:val="001C7811"/>
    <w:rPr>
      <w:sz w:val="20"/>
      <w:szCs w:val="20"/>
    </w:rPr>
  </w:style>
  <w:style w:type="paragraph" w:styleId="Asuntodelcomentario">
    <w:name w:val="annotation subject"/>
    <w:basedOn w:val="Textocomentario"/>
    <w:next w:val="Textocomentario"/>
    <w:link w:val="AsuntodelcomentarioCar"/>
    <w:uiPriority w:val="99"/>
    <w:semiHidden/>
    <w:unhideWhenUsed/>
    <w:rsid w:val="001C7811"/>
    <w:rPr>
      <w:b/>
      <w:bCs/>
    </w:rPr>
  </w:style>
  <w:style w:type="character" w:customStyle="1" w:styleId="AsuntodelcomentarioCar">
    <w:name w:val="Asunto del comentario Car"/>
    <w:basedOn w:val="TextocomentarioCar"/>
    <w:link w:val="Asuntodelcomentario"/>
    <w:uiPriority w:val="99"/>
    <w:semiHidden/>
    <w:rsid w:val="001C7811"/>
    <w:rPr>
      <w:b/>
      <w:bCs/>
      <w:sz w:val="20"/>
      <w:szCs w:val="20"/>
    </w:rPr>
  </w:style>
  <w:style w:type="paragraph" w:styleId="Textodeglobo">
    <w:name w:val="Balloon Text"/>
    <w:basedOn w:val="Normal"/>
    <w:link w:val="TextodegloboCar"/>
    <w:uiPriority w:val="99"/>
    <w:semiHidden/>
    <w:unhideWhenUsed/>
    <w:rsid w:val="001C781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C78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nciencias.gov.co/"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3125</Words>
  <Characters>17192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German de Jesus Sanchez Ortiz</dc:creator>
  <cp:lastModifiedBy>Camilo Jose Alcazar Franco</cp:lastModifiedBy>
  <cp:revision>3</cp:revision>
  <cp:lastPrinted>2022-11-03T15:40:00Z</cp:lastPrinted>
  <dcterms:created xsi:type="dcterms:W3CDTF">2022-11-03T22:02:00Z</dcterms:created>
  <dcterms:modified xsi:type="dcterms:W3CDTF">2022-11-03T22:18:00Z</dcterms:modified>
</cp:coreProperties>
</file>