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D33" w:rsidRDefault="004B0D33" w:rsidP="004B0D33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SECRETARIA SEGURIDAD Y CONVIVENCIA</w:t>
      </w:r>
    </w:p>
    <w:p w:rsidR="004B0D33" w:rsidRDefault="004B0D33" w:rsidP="004B0D33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SUBSECRETARÍA DE GOBIERNO LOCAL Y CONVIVENCIA</w:t>
      </w:r>
    </w:p>
    <w:p w:rsidR="004B0D33" w:rsidRDefault="004B0D33" w:rsidP="004B0D33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INSPECCION PRIMERA DE POLICIA URBANA DE PRIMERA CATEGORIA</w:t>
      </w:r>
    </w:p>
    <w:p w:rsidR="004B0D33" w:rsidRDefault="004B0D33" w:rsidP="004B0D33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Carrera 32 Nro. 102A-45 Casa De Justicia De Santo Domingo </w:t>
      </w:r>
      <w:proofErr w:type="spellStart"/>
      <w:r>
        <w:rPr>
          <w:rFonts w:ascii="Century Gothic" w:hAnsi="Century Gothic" w:cs="Arial"/>
          <w:b/>
          <w:sz w:val="24"/>
          <w:szCs w:val="24"/>
        </w:rPr>
        <w:t>Savio</w:t>
      </w:r>
      <w:proofErr w:type="spellEnd"/>
    </w:p>
    <w:p w:rsidR="004B0D33" w:rsidRDefault="004B0D33" w:rsidP="004B0D33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Línea de Atención: 3855555 Ext 1174 – 8461 – 8455 – 8456 – 8457</w:t>
      </w:r>
    </w:p>
    <w:p w:rsidR="004B0D33" w:rsidRDefault="004B0D33" w:rsidP="004B0D33">
      <w:pPr>
        <w:spacing w:after="0" w:line="240" w:lineRule="auto"/>
        <w:jc w:val="center"/>
        <w:rPr>
          <w:rFonts w:ascii="Century Gothic" w:hAnsi="Century Gothic" w:cs="Arial"/>
          <w:sz w:val="24"/>
          <w:szCs w:val="24"/>
        </w:rPr>
      </w:pPr>
    </w:p>
    <w:p w:rsidR="00C67589" w:rsidRDefault="00C67589" w:rsidP="004B0D33">
      <w:pPr>
        <w:spacing w:after="0" w:line="240" w:lineRule="auto"/>
        <w:jc w:val="center"/>
        <w:rPr>
          <w:rFonts w:ascii="Century Gothic" w:hAnsi="Century Gothic" w:cs="Arial"/>
          <w:sz w:val="24"/>
          <w:szCs w:val="24"/>
        </w:rPr>
      </w:pPr>
    </w:p>
    <w:p w:rsidR="004B0D33" w:rsidRDefault="00602F7D" w:rsidP="00602F7D">
      <w:pPr>
        <w:spacing w:after="0" w:line="240" w:lineRule="auto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Medellín, diecinueve</w:t>
      </w:r>
      <w:r w:rsidR="004B0D33">
        <w:rPr>
          <w:rFonts w:ascii="Century Gothic" w:hAnsi="Century Gothic" w:cs="Arial"/>
          <w:sz w:val="24"/>
          <w:szCs w:val="24"/>
        </w:rPr>
        <w:t xml:space="preserve"> (1</w:t>
      </w:r>
      <w:r>
        <w:rPr>
          <w:rFonts w:ascii="Century Gothic" w:hAnsi="Century Gothic" w:cs="Arial"/>
          <w:sz w:val="24"/>
          <w:szCs w:val="24"/>
        </w:rPr>
        <w:t>9</w:t>
      </w:r>
      <w:r w:rsidR="004B0D33">
        <w:rPr>
          <w:rFonts w:ascii="Century Gothic" w:hAnsi="Century Gothic" w:cs="Arial"/>
          <w:sz w:val="24"/>
          <w:szCs w:val="24"/>
        </w:rPr>
        <w:t>) de agosto de dos mil veinticinco (2025)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Default="00602F7D" w:rsidP="004B0D33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ORDEN DE POLICÍA Nro. 21</w:t>
      </w:r>
      <w:r w:rsidR="000773D7">
        <w:rPr>
          <w:rFonts w:ascii="Century Gothic" w:hAnsi="Century Gothic" w:cs="Arial"/>
          <w:b/>
          <w:sz w:val="24"/>
          <w:szCs w:val="24"/>
        </w:rPr>
        <w:t>6</w:t>
      </w:r>
      <w:r w:rsidR="004B0D33">
        <w:rPr>
          <w:rFonts w:ascii="Century Gothic" w:hAnsi="Century Gothic" w:cs="Arial"/>
          <w:b/>
          <w:sz w:val="24"/>
          <w:szCs w:val="24"/>
        </w:rPr>
        <w:t xml:space="preserve"> – 2025</w:t>
      </w:r>
    </w:p>
    <w:p w:rsidR="004B0D33" w:rsidRDefault="004B0D33" w:rsidP="004B0D33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4B0D33" w:rsidRDefault="004B0D33" w:rsidP="004B0D33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4B0D33" w:rsidRDefault="004B0D33" w:rsidP="004B0D33">
      <w:pPr>
        <w:spacing w:after="0" w:line="240" w:lineRule="auto"/>
        <w:ind w:left="720" w:hanging="720"/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POR MEDIO DE LA CUAL SE ORDE</w:t>
      </w:r>
      <w:r w:rsidR="00602F7D">
        <w:rPr>
          <w:rFonts w:ascii="Century Gothic" w:hAnsi="Century Gothic" w:cs="Arial"/>
          <w:b/>
          <w:sz w:val="24"/>
          <w:szCs w:val="24"/>
        </w:rPr>
        <w:t>NA DOS</w:t>
      </w:r>
      <w:r>
        <w:rPr>
          <w:rFonts w:ascii="Century Gothic" w:hAnsi="Century Gothic" w:cs="Arial"/>
          <w:b/>
          <w:sz w:val="24"/>
          <w:szCs w:val="24"/>
        </w:rPr>
        <w:t xml:space="preserve"> EVACUACIÓN</w:t>
      </w:r>
      <w:r w:rsidR="00602F7D">
        <w:rPr>
          <w:rFonts w:ascii="Century Gothic" w:hAnsi="Century Gothic" w:cs="Arial"/>
          <w:b/>
          <w:sz w:val="24"/>
          <w:szCs w:val="24"/>
        </w:rPr>
        <w:t>ES</w:t>
      </w:r>
      <w:r>
        <w:rPr>
          <w:rFonts w:ascii="Century Gothic" w:hAnsi="Century Gothic" w:cs="Arial"/>
          <w:b/>
          <w:sz w:val="24"/>
          <w:szCs w:val="24"/>
        </w:rPr>
        <w:t xml:space="preserve"> DEFINITIVA</w:t>
      </w:r>
      <w:r w:rsidR="00602F7D">
        <w:rPr>
          <w:rFonts w:ascii="Century Gothic" w:hAnsi="Century Gothic" w:cs="Arial"/>
          <w:b/>
          <w:sz w:val="24"/>
          <w:szCs w:val="24"/>
        </w:rPr>
        <w:t>S</w:t>
      </w:r>
      <w:r>
        <w:rPr>
          <w:rFonts w:ascii="Century Gothic" w:hAnsi="Century Gothic" w:cs="Arial"/>
          <w:b/>
          <w:sz w:val="24"/>
          <w:szCs w:val="24"/>
        </w:rPr>
        <w:t xml:space="preserve">   UNA EVACUACION TEMPORAL</w:t>
      </w:r>
    </w:p>
    <w:p w:rsidR="004B0D33" w:rsidRDefault="004B0D33" w:rsidP="004B0D33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4B0D33" w:rsidRDefault="004B0D33" w:rsidP="004B0D33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</w:pPr>
      <w:r>
        <w:rPr>
          <w:rFonts w:ascii="Century Gothic" w:hAnsi="Century Gothic" w:cs="Arial"/>
          <w:b/>
          <w:sz w:val="24"/>
          <w:szCs w:val="24"/>
          <w:lang w:val="es-CO"/>
        </w:rPr>
        <w:t>RADICADO:</w:t>
      </w:r>
      <w:r>
        <w:rPr>
          <w:rFonts w:ascii="Century Gothic" w:hAnsi="Century Gothic" w:cs="Arial"/>
          <w:b/>
          <w:sz w:val="24"/>
          <w:szCs w:val="24"/>
          <w:lang w:val="es-CO"/>
        </w:rPr>
        <w:tab/>
      </w:r>
      <w:r>
        <w:rPr>
          <w:rFonts w:ascii="Century Gothic" w:hAnsi="Century Gothic" w:cs="Arial"/>
          <w:b/>
          <w:sz w:val="24"/>
          <w:szCs w:val="24"/>
          <w:lang w:val="es-CO"/>
        </w:rPr>
        <w:tab/>
      </w:r>
      <w:r>
        <w:rPr>
          <w:rFonts w:ascii="Century Gothic" w:hAnsi="Century Gothic" w:cs="Arial"/>
          <w:b/>
          <w:sz w:val="24"/>
          <w:szCs w:val="24"/>
          <w:lang w:val="es-CO"/>
        </w:rPr>
        <w:tab/>
      </w:r>
      <w:r>
        <w:rPr>
          <w:rFonts w:ascii="Century Gothic" w:hAnsi="Century Gothic" w:cs="Arial"/>
          <w:b/>
          <w:sz w:val="24"/>
          <w:szCs w:val="24"/>
          <w:lang w:val="es-CO"/>
        </w:rPr>
        <w:tab/>
        <w:t>02-</w:t>
      </w:r>
      <w:r w:rsidR="00602F7D">
        <w:rPr>
          <w:rFonts w:ascii="Century Gothic" w:hAnsi="Century Gothic" w:cs="Arial"/>
          <w:b/>
          <w:sz w:val="24"/>
          <w:szCs w:val="24"/>
        </w:rPr>
        <w:t>19943</w:t>
      </w:r>
      <w:r>
        <w:rPr>
          <w:rFonts w:ascii="Century Gothic" w:hAnsi="Century Gothic" w:cs="Arial"/>
          <w:b/>
          <w:sz w:val="24"/>
          <w:szCs w:val="24"/>
        </w:rPr>
        <w:t>-25</w:t>
      </w:r>
    </w:p>
    <w:p w:rsidR="004B0D33" w:rsidRDefault="004B0D33" w:rsidP="004B0D33">
      <w:pPr>
        <w:spacing w:after="0" w:line="240" w:lineRule="auto"/>
        <w:ind w:left="3600" w:hanging="3600"/>
        <w:jc w:val="both"/>
      </w:pPr>
      <w:r>
        <w:rPr>
          <w:rFonts w:ascii="Century Gothic" w:hAnsi="Century Gothic" w:cs="Arial"/>
          <w:b/>
          <w:sz w:val="24"/>
          <w:szCs w:val="24"/>
          <w:lang w:val="es-CO"/>
        </w:rPr>
        <w:t>NORMATIVIDAD APLICABLE:</w:t>
      </w:r>
      <w:r>
        <w:rPr>
          <w:rFonts w:ascii="Century Gothic" w:hAnsi="Century Gothic" w:cs="Arial"/>
          <w:b/>
          <w:sz w:val="24"/>
          <w:szCs w:val="24"/>
          <w:lang w:val="es-CO"/>
        </w:rPr>
        <w:tab/>
        <w:t>Articulo 27 Ley 1801 de 2016. Orden de                              policía.  Concordante con el Artículo 194 Ley 1801 de 2016.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 w:cs="Arial"/>
          <w:b/>
          <w:sz w:val="24"/>
          <w:szCs w:val="24"/>
          <w:lang w:val="es-CO"/>
        </w:rPr>
        <w:t xml:space="preserve">Demolición de obra, evacuación temporal. </w:t>
      </w:r>
    </w:p>
    <w:p w:rsidR="004B0D33" w:rsidRDefault="004B0D33" w:rsidP="004B0D33">
      <w:pPr>
        <w:spacing w:after="0" w:line="240" w:lineRule="auto"/>
        <w:ind w:left="3600" w:hanging="3600"/>
        <w:jc w:val="both"/>
      </w:pPr>
      <w:r>
        <w:rPr>
          <w:rFonts w:ascii="Century Gothic" w:hAnsi="Century Gothic" w:cs="Arial"/>
          <w:b/>
          <w:sz w:val="24"/>
          <w:szCs w:val="24"/>
          <w:lang w:val="es-CO"/>
        </w:rPr>
        <w:t>AFECTADO:</w:t>
      </w:r>
      <w:r>
        <w:rPr>
          <w:rFonts w:ascii="Century Gothic" w:hAnsi="Century Gothic" w:cs="Arial"/>
          <w:b/>
          <w:sz w:val="24"/>
          <w:szCs w:val="24"/>
          <w:lang w:val="es-CO"/>
        </w:rPr>
        <w:tab/>
      </w:r>
      <w:r w:rsidR="00602F7D">
        <w:rPr>
          <w:rFonts w:ascii="Century Gothic" w:hAnsi="Century Gothic" w:cs="Arial"/>
          <w:b/>
          <w:sz w:val="24"/>
          <w:szCs w:val="24"/>
          <w:lang w:val="es-CO"/>
        </w:rPr>
        <w:t>JOSE ALEXANDER CALPAVIRE RIOS</w:t>
      </w:r>
    </w:p>
    <w:p w:rsidR="004B0D33" w:rsidRDefault="004B0D33" w:rsidP="004B0D33">
      <w:pPr>
        <w:spacing w:after="0" w:line="240" w:lineRule="auto"/>
        <w:jc w:val="both"/>
      </w:pPr>
      <w:r>
        <w:rPr>
          <w:rFonts w:ascii="Century Gothic" w:hAnsi="Century Gothic" w:cs="Arial"/>
          <w:b/>
          <w:sz w:val="24"/>
          <w:szCs w:val="24"/>
          <w:lang w:val="es-CO"/>
        </w:rPr>
        <w:t>IDENTIFICACIÓN:</w:t>
      </w:r>
      <w:r>
        <w:rPr>
          <w:rFonts w:ascii="Century Gothic" w:hAnsi="Century Gothic" w:cs="Arial"/>
          <w:b/>
          <w:sz w:val="24"/>
          <w:szCs w:val="24"/>
          <w:lang w:val="es-CO"/>
        </w:rPr>
        <w:tab/>
      </w:r>
      <w:r>
        <w:rPr>
          <w:rFonts w:ascii="Century Gothic" w:hAnsi="Century Gothic" w:cs="Arial"/>
          <w:b/>
          <w:sz w:val="24"/>
          <w:szCs w:val="24"/>
          <w:lang w:val="es-CO"/>
        </w:rPr>
        <w:tab/>
      </w:r>
      <w:r>
        <w:rPr>
          <w:rFonts w:ascii="Century Gothic" w:hAnsi="Century Gothic" w:cs="Arial"/>
          <w:b/>
          <w:sz w:val="24"/>
          <w:szCs w:val="24"/>
          <w:lang w:val="es-CO"/>
        </w:rPr>
        <w:tab/>
        <w:t>SIN DATOS</w:t>
      </w:r>
    </w:p>
    <w:p w:rsidR="004B0D33" w:rsidRDefault="00602F7D" w:rsidP="004B0D33">
      <w:pPr>
        <w:spacing w:after="0" w:line="240" w:lineRule="auto"/>
        <w:ind w:left="3600" w:hanging="3600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LUGAR DEL HECHO:</w:t>
      </w:r>
      <w:r>
        <w:rPr>
          <w:rFonts w:ascii="Century Gothic" w:hAnsi="Century Gothic" w:cs="Arial"/>
          <w:b/>
          <w:sz w:val="24"/>
          <w:szCs w:val="24"/>
        </w:rPr>
        <w:tab/>
        <w:t>CARR</w:t>
      </w:r>
      <w:r w:rsidR="004B0D33">
        <w:rPr>
          <w:rFonts w:ascii="Century Gothic" w:hAnsi="Century Gothic" w:cs="Arial"/>
          <w:b/>
          <w:sz w:val="24"/>
          <w:szCs w:val="24"/>
        </w:rPr>
        <w:t>E</w:t>
      </w:r>
      <w:r>
        <w:rPr>
          <w:rFonts w:ascii="Century Gothic" w:hAnsi="Century Gothic" w:cs="Arial"/>
          <w:b/>
          <w:sz w:val="24"/>
          <w:szCs w:val="24"/>
        </w:rPr>
        <w:t>RA</w:t>
      </w:r>
      <w:r w:rsidR="004B0D33">
        <w:rPr>
          <w:rFonts w:ascii="Century Gothic" w:hAnsi="Century Gothic" w:cs="Arial"/>
          <w:b/>
          <w:sz w:val="24"/>
          <w:szCs w:val="24"/>
        </w:rPr>
        <w:t xml:space="preserve"> </w:t>
      </w:r>
      <w:r>
        <w:rPr>
          <w:rFonts w:ascii="Century Gothic" w:hAnsi="Century Gothic" w:cs="Arial"/>
          <w:b/>
          <w:sz w:val="24"/>
          <w:szCs w:val="24"/>
        </w:rPr>
        <w:t xml:space="preserve">28 F </w:t>
      </w:r>
      <w:r w:rsidR="004B0D33">
        <w:rPr>
          <w:rFonts w:ascii="Century Gothic" w:hAnsi="Century Gothic" w:cs="Arial"/>
          <w:b/>
          <w:sz w:val="24"/>
          <w:szCs w:val="24"/>
        </w:rPr>
        <w:t xml:space="preserve">N° </w:t>
      </w:r>
      <w:r>
        <w:rPr>
          <w:rFonts w:ascii="Century Gothic" w:hAnsi="Century Gothic" w:cs="Arial"/>
          <w:b/>
          <w:sz w:val="24"/>
          <w:szCs w:val="24"/>
        </w:rPr>
        <w:t>111 – 190 INTERIOR 179</w:t>
      </w:r>
      <w:r w:rsidR="004B0D33">
        <w:rPr>
          <w:rFonts w:ascii="Century Gothic" w:hAnsi="Century Gothic" w:cs="Arial"/>
          <w:b/>
          <w:sz w:val="24"/>
          <w:szCs w:val="24"/>
        </w:rPr>
        <w:t xml:space="preserve"> - TEMPORAL</w:t>
      </w:r>
    </w:p>
    <w:p w:rsidR="004B0D33" w:rsidRDefault="00602F7D" w:rsidP="004B0D33">
      <w:pPr>
        <w:spacing w:after="0" w:line="240" w:lineRule="auto"/>
        <w:ind w:left="3600" w:hanging="3600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ab/>
        <w:t>CARRERA 28 F</w:t>
      </w:r>
      <w:r w:rsidR="004B0D33">
        <w:rPr>
          <w:rFonts w:ascii="Century Gothic" w:hAnsi="Century Gothic" w:cs="Arial"/>
          <w:b/>
          <w:sz w:val="24"/>
          <w:szCs w:val="24"/>
        </w:rPr>
        <w:t xml:space="preserve"> N° </w:t>
      </w:r>
      <w:r>
        <w:rPr>
          <w:rFonts w:ascii="Century Gothic" w:hAnsi="Century Gothic" w:cs="Arial"/>
          <w:b/>
          <w:sz w:val="24"/>
          <w:szCs w:val="24"/>
        </w:rPr>
        <w:t>111 – 190 INTERIOR 179 DE REFERENCIA</w:t>
      </w:r>
      <w:r w:rsidR="004B0D33">
        <w:rPr>
          <w:rFonts w:ascii="Century Gothic" w:hAnsi="Century Gothic" w:cs="Arial"/>
          <w:b/>
          <w:sz w:val="24"/>
          <w:szCs w:val="24"/>
        </w:rPr>
        <w:t xml:space="preserve"> - DEFINITIVA </w:t>
      </w:r>
    </w:p>
    <w:p w:rsidR="004B0D33" w:rsidRDefault="004B0D33" w:rsidP="004B0D33">
      <w:pPr>
        <w:spacing w:after="0" w:line="240" w:lineRule="auto"/>
        <w:ind w:left="3600" w:hanging="3600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ab/>
      </w:r>
      <w:r w:rsidR="00602F7D">
        <w:rPr>
          <w:rFonts w:ascii="Century Gothic" w:hAnsi="Century Gothic" w:cs="Arial"/>
          <w:b/>
          <w:sz w:val="24"/>
          <w:szCs w:val="24"/>
        </w:rPr>
        <w:t>CARRERA 28 F N° 111 – 190 INTERIOR 179 DE REFERENCIA - DEFINITIVA</w:t>
      </w:r>
    </w:p>
    <w:p w:rsidR="004B0D33" w:rsidRDefault="004B0D33" w:rsidP="004B0D33">
      <w:pPr>
        <w:spacing w:after="0" w:line="240" w:lineRule="auto"/>
        <w:ind w:left="3600" w:hanging="3600"/>
        <w:jc w:val="both"/>
        <w:rPr>
          <w:rFonts w:ascii="Century Gothic" w:hAnsi="Century Gothic" w:cs="Arial"/>
          <w:b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</w:pPr>
      <w:r>
        <w:rPr>
          <w:rFonts w:ascii="Century Gothic" w:hAnsi="Century Gothic" w:cs="Arial"/>
          <w:sz w:val="24"/>
          <w:szCs w:val="24"/>
        </w:rPr>
        <w:t xml:space="preserve">El   </w:t>
      </w:r>
      <w:r>
        <w:rPr>
          <w:rFonts w:ascii="Century Gothic" w:hAnsi="Century Gothic" w:cs="Arial"/>
          <w:b/>
          <w:sz w:val="24"/>
          <w:szCs w:val="24"/>
        </w:rPr>
        <w:t>INSPECTOR PRIMERA DE POLICIA URBANA DE PRIMERA CATEGORÍA</w:t>
      </w:r>
      <w:r>
        <w:rPr>
          <w:rFonts w:ascii="Century Gothic" w:hAnsi="Century Gothic" w:cs="Arial"/>
          <w:sz w:val="24"/>
          <w:szCs w:val="24"/>
        </w:rPr>
        <w:t>, en ejercicio de su función de policía y de las facultades constitucionales y legales, en especial de las conferidas por la Ley 1801 de 2016 y de conformidad con la delegación otorgada mediante el Decreto Distrital 312 del 24 de abril de 2024, en concordancia con la Ley 1437 de 2011 (Código de Procedimiento Administrativo y de lo Contencioso Administrativo) y: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  <w:lang w:val="pt-BR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  <w:lang w:val="pt-BR"/>
        </w:rPr>
      </w:pPr>
    </w:p>
    <w:p w:rsidR="004B0D33" w:rsidRDefault="004B0D33" w:rsidP="004B0D33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  <w:lang w:val="pt-BR"/>
        </w:rPr>
      </w:pPr>
      <w:r>
        <w:rPr>
          <w:rFonts w:ascii="Century Gothic" w:hAnsi="Century Gothic" w:cs="Arial"/>
          <w:b/>
          <w:sz w:val="24"/>
          <w:szCs w:val="24"/>
          <w:lang w:val="pt-BR"/>
        </w:rPr>
        <w:t>CONSIDERANDO QUE:</w:t>
      </w:r>
    </w:p>
    <w:p w:rsidR="004B0D33" w:rsidRDefault="004B0D33" w:rsidP="004B0D33">
      <w:pPr>
        <w:tabs>
          <w:tab w:val="left" w:pos="3885"/>
        </w:tabs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Default="004B0D33" w:rsidP="004B0D33">
      <w:pPr>
        <w:tabs>
          <w:tab w:val="left" w:pos="3885"/>
        </w:tabs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</w:p>
    <w:p w:rsidR="004B0D33" w:rsidRDefault="004B0D33" w:rsidP="004B0D33">
      <w:pPr>
        <w:autoSpaceDE w:val="0"/>
        <w:spacing w:after="0" w:line="240" w:lineRule="auto"/>
        <w:jc w:val="both"/>
      </w:pPr>
      <w:r>
        <w:rPr>
          <w:rFonts w:ascii="Century Gothic" w:hAnsi="Century Gothic" w:cs="Arial"/>
          <w:sz w:val="24"/>
          <w:szCs w:val="24"/>
        </w:rPr>
        <w:t xml:space="preserve">El día </w:t>
      </w:r>
      <w:r w:rsidR="005E0385">
        <w:rPr>
          <w:rFonts w:ascii="Century Gothic" w:hAnsi="Century Gothic" w:cs="Arial"/>
          <w:b/>
          <w:sz w:val="24"/>
          <w:szCs w:val="24"/>
        </w:rPr>
        <w:t>30</w:t>
      </w:r>
      <w:r>
        <w:rPr>
          <w:rFonts w:ascii="Century Gothic" w:hAnsi="Century Gothic" w:cs="Arial"/>
          <w:b/>
          <w:sz w:val="24"/>
          <w:szCs w:val="24"/>
        </w:rPr>
        <w:t xml:space="preserve"> de julio de 2025</w:t>
      </w:r>
      <w:r>
        <w:rPr>
          <w:rFonts w:ascii="Century Gothic" w:hAnsi="Century Gothic" w:cs="Arial"/>
          <w:sz w:val="24"/>
          <w:szCs w:val="24"/>
        </w:rPr>
        <w:t xml:space="preserve">, fue radicada en este Despacho, </w:t>
      </w:r>
      <w:r>
        <w:rPr>
          <w:rFonts w:ascii="Century Gothic" w:hAnsi="Century Gothic" w:cs="Arial"/>
          <w:b/>
          <w:sz w:val="24"/>
          <w:szCs w:val="24"/>
        </w:rPr>
        <w:t>la</w:t>
      </w:r>
      <w:r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b/>
          <w:sz w:val="24"/>
          <w:szCs w:val="24"/>
        </w:rPr>
        <w:t>Ficha Técnica Nro.</w:t>
      </w:r>
      <w:bookmarkStart w:id="0" w:name="_Hlk134176792"/>
      <w:r>
        <w:rPr>
          <w:rFonts w:ascii="Century Gothic" w:hAnsi="Century Gothic" w:cs="Arial"/>
          <w:b/>
          <w:sz w:val="24"/>
          <w:szCs w:val="24"/>
        </w:rPr>
        <w:t xml:space="preserve"> 12</w:t>
      </w:r>
      <w:r w:rsidR="005E0385">
        <w:rPr>
          <w:rFonts w:ascii="Century Gothic" w:hAnsi="Century Gothic" w:cs="Arial"/>
          <w:b/>
          <w:sz w:val="24"/>
          <w:szCs w:val="24"/>
        </w:rPr>
        <w:t>6751 Del 26</w:t>
      </w:r>
      <w:r>
        <w:rPr>
          <w:rFonts w:ascii="Century Gothic" w:hAnsi="Century Gothic" w:cs="Arial"/>
          <w:b/>
          <w:sz w:val="24"/>
          <w:szCs w:val="24"/>
        </w:rPr>
        <w:t xml:space="preserve"> de ju</w:t>
      </w:r>
      <w:r w:rsidR="005E0385">
        <w:rPr>
          <w:rFonts w:ascii="Century Gothic" w:hAnsi="Century Gothic" w:cs="Arial"/>
          <w:b/>
          <w:sz w:val="24"/>
          <w:szCs w:val="24"/>
        </w:rPr>
        <w:t>n</w:t>
      </w:r>
      <w:r>
        <w:rPr>
          <w:rFonts w:ascii="Century Gothic" w:hAnsi="Century Gothic" w:cs="Arial"/>
          <w:b/>
          <w:sz w:val="24"/>
          <w:szCs w:val="24"/>
        </w:rPr>
        <w:t>io de 202</w:t>
      </w:r>
      <w:bookmarkEnd w:id="0"/>
      <w:r>
        <w:rPr>
          <w:rFonts w:ascii="Century Gothic" w:hAnsi="Century Gothic" w:cs="Arial"/>
          <w:b/>
          <w:sz w:val="24"/>
          <w:szCs w:val="24"/>
        </w:rPr>
        <w:t>5</w:t>
      </w:r>
      <w:r>
        <w:rPr>
          <w:rFonts w:ascii="Century Gothic" w:hAnsi="Century Gothic" w:cs="Arial"/>
          <w:sz w:val="24"/>
          <w:szCs w:val="24"/>
        </w:rPr>
        <w:t xml:space="preserve">, emitida por el </w:t>
      </w:r>
      <w:r>
        <w:rPr>
          <w:rFonts w:ascii="Century Gothic" w:hAnsi="Century Gothic" w:cs="Arial"/>
          <w:b/>
          <w:sz w:val="24"/>
          <w:szCs w:val="24"/>
        </w:rPr>
        <w:t xml:space="preserve">Departamento Administrativo de Gestión del Riesgo de Desastres (DAGRD), </w:t>
      </w:r>
      <w:r>
        <w:rPr>
          <w:rFonts w:ascii="Century Gothic" w:hAnsi="Century Gothic" w:cs="Arial"/>
          <w:sz w:val="24"/>
          <w:szCs w:val="24"/>
        </w:rPr>
        <w:t xml:space="preserve">mediante la cual se da a conocer una emergencia en los inmuebles localizados en la </w:t>
      </w:r>
      <w:r w:rsidR="005E0385">
        <w:rPr>
          <w:rFonts w:ascii="Century Gothic" w:hAnsi="Century Gothic" w:cs="Arial"/>
          <w:b/>
          <w:sz w:val="24"/>
          <w:szCs w:val="24"/>
        </w:rPr>
        <w:lastRenderedPageBreak/>
        <w:t>CARRERA 28 F N° 111 – 190 INTERIOR 179 - TEMPORAL / CARRERA 28 F N° 111 – 190 INTERIOR 179 DE REFERENCIA – DEFINITIVA / CARRERA 28 F N° 111 – 190 INTERIOR 179 DE REFERENCIA - DEFINITIVA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>
        <w:rPr>
          <w:rFonts w:ascii="Century Gothic" w:hAnsi="Century Gothic" w:cs="Arial"/>
          <w:sz w:val="24"/>
          <w:szCs w:val="24"/>
        </w:rPr>
        <w:t xml:space="preserve">en el Distrito de Medellín. De conformidad con la Ficha Técnica antes referida, el evento refiere la siguiente descripción: </w:t>
      </w:r>
    </w:p>
    <w:p w:rsidR="004B0D33" w:rsidRDefault="004B0D33" w:rsidP="004B0D33">
      <w:pPr>
        <w:autoSpaceDE w:val="0"/>
        <w:spacing w:after="0" w:line="240" w:lineRule="auto"/>
        <w:jc w:val="both"/>
        <w:rPr>
          <w:rFonts w:ascii="Century Gothic" w:eastAsia="Cambria" w:hAnsi="Century Gothic" w:cs="Arial"/>
          <w:color w:val="616160"/>
          <w:sz w:val="24"/>
          <w:szCs w:val="24"/>
        </w:rPr>
      </w:pP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</w:p>
    <w:p w:rsidR="004B0D33" w:rsidRDefault="004B0D33" w:rsidP="004B0D33">
      <w:pPr>
        <w:autoSpaceDE w:val="0"/>
        <w:spacing w:after="0" w:line="240" w:lineRule="auto"/>
        <w:jc w:val="both"/>
      </w:pP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</w:pPr>
      <w:r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  <w:t>POSIBLES CAUSAS</w:t>
      </w:r>
    </w:p>
    <w:p w:rsidR="00B71840" w:rsidRDefault="00B71840" w:rsidP="00B71840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B71840" w:rsidRP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Aguas de escorrentía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Antrópico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Aumento de presión de poros y pérdida de resistencia al cortante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Aumento súbito de niveles de la quebrada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Baja capacidad hidráulica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Baja capacidad del suelo de fundación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Cambio sección hidráulica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Características topográficas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Características geológicas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Carencia de canoas y bajantes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Carencia de obras de captación y manejo de aguas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Deficiencias constructivas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Des confinamiento de ladera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Dinámica de la quebrada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Disposición de materiales de excavación, escombros y/o basuras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Eliminación de cobertura vegetal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Empozamiento de aguas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Erosión concentrada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Erosión lateral de orillas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Excavaciones o cortes de terreno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Flujos subsuperficiales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Invasión de zonas con restricciones urbanísticas y habitacionales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Llenos antrópicos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Movimiento en masa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Obstrucción de cauce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Pérdida de suelo de soporte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Transición de canal natural a artificial</w:t>
      </w:r>
    </w:p>
    <w:p w:rsid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Ausencia de obras de drenaje</w:t>
      </w:r>
    </w:p>
    <w:p w:rsidR="004B0D33" w:rsidRPr="00B71840" w:rsidRDefault="00B71840" w:rsidP="00B71840">
      <w:pPr>
        <w:pStyle w:val="Prrafodelista"/>
        <w:numPr>
          <w:ilvl w:val="0"/>
          <w:numId w:val="15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B71840">
        <w:rPr>
          <w:rFonts w:ascii="Century Gothic" w:eastAsia="Cambria" w:hAnsi="Century Gothic" w:cs="Arial"/>
          <w:color w:val="616160"/>
          <w:sz w:val="24"/>
          <w:szCs w:val="24"/>
        </w:rPr>
        <w:t>Baja calidad de los materiales</w:t>
      </w:r>
    </w:p>
    <w:p w:rsidR="004B0D33" w:rsidRDefault="004B0D33" w:rsidP="004B0D33">
      <w:pPr>
        <w:pStyle w:val="Prrafodelista"/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67589" w:rsidRPr="001B4D9C" w:rsidRDefault="00C67589" w:rsidP="004B0D33">
      <w:pPr>
        <w:pStyle w:val="Prrafodelista"/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4B0D33" w:rsidRDefault="004B0D33" w:rsidP="004B0D33">
      <w:pPr>
        <w:autoSpaceDE w:val="0"/>
        <w:spacing w:after="0" w:line="240" w:lineRule="auto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</w:pPr>
      <w:r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  <w:t>DESCRIPCIÓN DEL ESCENARIO DE RIESGO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4B0D33" w:rsidRDefault="005E52CC" w:rsidP="005E52CC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5E52CC">
        <w:rPr>
          <w:rFonts w:ascii="Century Gothic" w:eastAsia="Cambria" w:hAnsi="Century Gothic" w:cs="Arial"/>
          <w:color w:val="616160"/>
          <w:sz w:val="24"/>
          <w:szCs w:val="24"/>
        </w:rPr>
        <w:t>Inspecciones por riesgo realizadas el día 26 de junio de 2025, sobre la margen i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zquierda de la quebrada La Seca </w:t>
      </w:r>
      <w:r w:rsidRPr="005E52CC">
        <w:rPr>
          <w:rFonts w:ascii="Century Gothic" w:eastAsia="Cambria" w:hAnsi="Century Gothic" w:cs="Arial"/>
          <w:color w:val="616160"/>
          <w:sz w:val="24"/>
          <w:szCs w:val="24"/>
        </w:rPr>
        <w:t xml:space="preserve">(cañada negra), en los barrios Santo Domingo </w:t>
      </w:r>
      <w:proofErr w:type="spellStart"/>
      <w:r w:rsidRPr="005E52CC">
        <w:rPr>
          <w:rFonts w:ascii="Century Gothic" w:eastAsia="Cambria" w:hAnsi="Century Gothic" w:cs="Arial"/>
          <w:color w:val="616160"/>
          <w:sz w:val="24"/>
          <w:szCs w:val="24"/>
        </w:rPr>
        <w:t>Savio</w:t>
      </w:r>
      <w:proofErr w:type="spellEnd"/>
      <w:r w:rsidRPr="005E52CC">
        <w:rPr>
          <w:rFonts w:ascii="Century Gothic" w:eastAsia="Cambria" w:hAnsi="Century Gothic" w:cs="Arial"/>
          <w:color w:val="616160"/>
          <w:sz w:val="24"/>
          <w:szCs w:val="24"/>
        </w:rPr>
        <w:t xml:space="preserve"> No.2, Popular, La Isla y Pl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ayón de Los Comuneros, donde se </w:t>
      </w:r>
      <w:r w:rsidRPr="005E52CC">
        <w:rPr>
          <w:rFonts w:ascii="Century Gothic" w:eastAsia="Cambria" w:hAnsi="Century Gothic" w:cs="Arial"/>
          <w:color w:val="616160"/>
          <w:sz w:val="24"/>
          <w:szCs w:val="24"/>
        </w:rPr>
        <w:t xml:space="preserve">identifican y evalúan las posibles condiciones de riesgo, se realiza </w:t>
      </w:r>
      <w:r w:rsidRPr="005E52CC">
        <w:rPr>
          <w:rFonts w:ascii="Century Gothic" w:eastAsia="Cambria" w:hAnsi="Century Gothic" w:cs="Arial"/>
          <w:color w:val="616160"/>
          <w:sz w:val="24"/>
          <w:szCs w:val="24"/>
        </w:rPr>
        <w:lastRenderedPageBreak/>
        <w:t>el diagnóstico del escenario, se describe el evento,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5E52CC">
        <w:rPr>
          <w:rFonts w:ascii="Century Gothic" w:eastAsia="Cambria" w:hAnsi="Century Gothic" w:cs="Arial"/>
          <w:color w:val="616160"/>
          <w:sz w:val="24"/>
          <w:szCs w:val="24"/>
        </w:rPr>
        <w:t xml:space="preserve">sus posibles causas, los impactos esperados sobre los elementos expuestos y las 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recomendaciones de intervención </w:t>
      </w:r>
      <w:r w:rsidRPr="005E52CC">
        <w:rPr>
          <w:rFonts w:ascii="Century Gothic" w:eastAsia="Cambria" w:hAnsi="Century Gothic" w:cs="Arial"/>
          <w:color w:val="616160"/>
          <w:sz w:val="24"/>
          <w:szCs w:val="24"/>
        </w:rPr>
        <w:t>con sus respectivos actores responsables.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5E52CC" w:rsidRPr="005E52CC" w:rsidRDefault="005E52CC" w:rsidP="005E52CC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</w:pPr>
      <w:r w:rsidRPr="005E52CC"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  <w:t>Información suministrada por el usuario/solicitante/afectado:</w:t>
      </w:r>
    </w:p>
    <w:p w:rsidR="005E52CC" w:rsidRDefault="005E52CC" w:rsidP="005E52CC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4B0D33" w:rsidRPr="005E52CC" w:rsidRDefault="005E52CC" w:rsidP="005E52CC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5E52CC">
        <w:rPr>
          <w:rFonts w:ascii="Century Gothic" w:eastAsia="Cambria" w:hAnsi="Century Gothic" w:cs="Arial"/>
          <w:color w:val="616160"/>
          <w:sz w:val="24"/>
          <w:szCs w:val="24"/>
        </w:rPr>
        <w:t>El recorrido se realizó en compañía de profesionales de la Secretaría de Medio Ambient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e y de la Secretaría de Gestión </w:t>
      </w:r>
      <w:r w:rsidRPr="005E52CC">
        <w:rPr>
          <w:rFonts w:ascii="Century Gothic" w:eastAsia="Cambria" w:hAnsi="Century Gothic" w:cs="Arial"/>
          <w:color w:val="616160"/>
          <w:sz w:val="24"/>
          <w:szCs w:val="24"/>
        </w:rPr>
        <w:t>y Control Territorial del distrito de Medellín, con el fin de determinar la necesid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ad de evacuaciones temporales o </w:t>
      </w:r>
      <w:r w:rsidRPr="005E52CC">
        <w:rPr>
          <w:rFonts w:ascii="Century Gothic" w:eastAsia="Cambria" w:hAnsi="Century Gothic" w:cs="Arial"/>
          <w:color w:val="616160"/>
          <w:sz w:val="24"/>
          <w:szCs w:val="24"/>
        </w:rPr>
        <w:t>definitivas como consecuencia de las afectaciones presentadas en la zona, en el ma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rco de la emergencia por el </w:t>
      </w:r>
      <w:r w:rsidRPr="005E52CC">
        <w:rPr>
          <w:rFonts w:ascii="Century Gothic" w:eastAsia="Cambria" w:hAnsi="Century Gothic" w:cs="Arial"/>
          <w:color w:val="616160"/>
          <w:sz w:val="24"/>
          <w:szCs w:val="24"/>
        </w:rPr>
        <w:t xml:space="preserve">deslizamiento presentado en la vereda Granizal del municipio de Bello el 24 de junio 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de 2025, que evolucionó como un </w:t>
      </w:r>
      <w:r w:rsidRPr="005E52CC">
        <w:rPr>
          <w:rFonts w:ascii="Century Gothic" w:eastAsia="Cambria" w:hAnsi="Century Gothic" w:cs="Arial"/>
          <w:color w:val="616160"/>
          <w:sz w:val="24"/>
          <w:szCs w:val="24"/>
        </w:rPr>
        <w:t>flujo canalizado en la quebrada La Seca, el cual afectó varios sectores de las comunas 1, 2 y 90 del distrito d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e </w:t>
      </w:r>
      <w:r w:rsidRPr="005E52CC">
        <w:rPr>
          <w:rFonts w:ascii="Century Gothic" w:eastAsia="Cambria" w:hAnsi="Century Gothic" w:cs="Arial"/>
          <w:color w:val="616160"/>
          <w:sz w:val="24"/>
          <w:szCs w:val="24"/>
        </w:rPr>
        <w:t>Medellín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</w:pPr>
      <w:r w:rsidRPr="003474D3"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  <w:t>Características de la zona (Acuerdo 048 de 2014 – POT</w:t>
      </w:r>
    </w:p>
    <w:p w:rsidR="004B0D33" w:rsidRPr="003474D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</w:pPr>
    </w:p>
    <w:p w:rsidR="005E52CC" w:rsidRPr="005E52CC" w:rsidRDefault="005E52CC" w:rsidP="005E52CC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5E52CC">
        <w:rPr>
          <w:rFonts w:ascii="Century Gothic" w:eastAsia="Cambria" w:hAnsi="Century Gothic" w:cs="Arial"/>
          <w:color w:val="616160"/>
          <w:sz w:val="24"/>
          <w:szCs w:val="24"/>
        </w:rPr>
        <w:t>1. Riesgo POT: las tres (3) viviendas afectadas se encuentran en zona con condic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iones de riesgo por movimientos </w:t>
      </w:r>
      <w:r w:rsidRPr="005E52CC">
        <w:rPr>
          <w:rFonts w:ascii="Century Gothic" w:eastAsia="Cambria" w:hAnsi="Century Gothic" w:cs="Arial"/>
          <w:color w:val="616160"/>
          <w:sz w:val="24"/>
          <w:szCs w:val="24"/>
        </w:rPr>
        <w:t>en masa.</w:t>
      </w:r>
    </w:p>
    <w:p w:rsidR="005E52CC" w:rsidRPr="005E52CC" w:rsidRDefault="005E52CC" w:rsidP="005E52CC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5E52CC">
        <w:rPr>
          <w:rFonts w:ascii="Century Gothic" w:eastAsia="Cambria" w:hAnsi="Century Gothic" w:cs="Arial"/>
          <w:color w:val="616160"/>
          <w:sz w:val="24"/>
          <w:szCs w:val="24"/>
        </w:rPr>
        <w:t>2. Amenaza:</w:t>
      </w:r>
    </w:p>
    <w:p w:rsidR="005E52CC" w:rsidRPr="005E52CC" w:rsidRDefault="005E52CC" w:rsidP="005E52CC">
      <w:pPr>
        <w:pStyle w:val="Prrafodelista"/>
        <w:numPr>
          <w:ilvl w:val="0"/>
          <w:numId w:val="16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5E52CC">
        <w:rPr>
          <w:rFonts w:ascii="Century Gothic" w:eastAsia="Cambria" w:hAnsi="Century Gothic" w:cs="Arial"/>
          <w:color w:val="616160"/>
          <w:sz w:val="24"/>
          <w:szCs w:val="24"/>
        </w:rPr>
        <w:t>Por movimientos en masa: alta para las tres (3) viviendas afectadas.</w:t>
      </w:r>
    </w:p>
    <w:p w:rsidR="005E52CC" w:rsidRDefault="005E52CC" w:rsidP="005E52CC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5E52CC">
        <w:rPr>
          <w:rFonts w:ascii="Century Gothic" w:eastAsia="Cambria" w:hAnsi="Century Gothic" w:cs="Arial"/>
          <w:color w:val="616160"/>
          <w:sz w:val="24"/>
          <w:szCs w:val="24"/>
        </w:rPr>
        <w:t>3. Retiro: las viviendas 2 y 3 se encuentran dentro de la zona de retiro de la quebrada La Seca (cañada negra).</w:t>
      </w:r>
    </w:p>
    <w:p w:rsidR="005E52CC" w:rsidRDefault="005E52CC" w:rsidP="005E52CC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67589" w:rsidRPr="005E52CC" w:rsidRDefault="00C67589" w:rsidP="005E52CC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5E52CC" w:rsidRDefault="005E52CC" w:rsidP="005E52CC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</w:pPr>
      <w:r w:rsidRPr="005E52CC"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  <w:t>Características del inmueble:</w:t>
      </w:r>
    </w:p>
    <w:p w:rsidR="005E52CC" w:rsidRPr="005E52CC" w:rsidRDefault="005E52CC" w:rsidP="005E52CC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</w:pPr>
    </w:p>
    <w:p w:rsidR="005E52CC" w:rsidRPr="005E52CC" w:rsidRDefault="005E52CC" w:rsidP="005E52CC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5E52CC">
        <w:rPr>
          <w:rFonts w:ascii="Century Gothic" w:eastAsia="Cambria" w:hAnsi="Century Gothic" w:cs="Arial"/>
          <w:color w:val="616160"/>
          <w:sz w:val="24"/>
          <w:szCs w:val="24"/>
        </w:rPr>
        <w:t>CBML: no posee, ya que corres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ponde a zona de espacio público </w:t>
      </w:r>
      <w:r w:rsidRPr="005E52CC">
        <w:rPr>
          <w:rFonts w:ascii="Century Gothic" w:eastAsia="Cambria" w:hAnsi="Century Gothic" w:cs="Arial"/>
          <w:color w:val="616160"/>
          <w:sz w:val="24"/>
          <w:szCs w:val="24"/>
        </w:rPr>
        <w:t>proyectado.</w:t>
      </w:r>
    </w:p>
    <w:p w:rsidR="005E52CC" w:rsidRDefault="005E52CC" w:rsidP="005E52CC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4B0D33" w:rsidRDefault="005E52CC" w:rsidP="005E52CC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5E52CC">
        <w:rPr>
          <w:rFonts w:ascii="Century Gothic" w:eastAsia="Cambria" w:hAnsi="Century Gothic" w:cs="Arial"/>
          <w:color w:val="616160"/>
          <w:sz w:val="24"/>
          <w:szCs w:val="24"/>
        </w:rPr>
        <w:t>Ecoparque Microcuenca Quebrada Seca.</w:t>
      </w:r>
    </w:p>
    <w:p w:rsidR="005E52CC" w:rsidRDefault="005E52CC" w:rsidP="005E52CC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67589" w:rsidRDefault="00C67589" w:rsidP="005E52CC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</w:pPr>
      <w:r w:rsidRPr="00C02206"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  <w:t>ANTECEDENTES:</w:t>
      </w:r>
    </w:p>
    <w:p w:rsidR="00C02206" w:rsidRP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</w:pPr>
    </w:p>
    <w:p w:rsid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Las direcciones referenciadas no cuentan con antecedentes, sin embargo, en la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zona visitada se han reportado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históricamente varios movimientos en masa, deterioros estructurales, humedades y afloramientos de agua.</w:t>
      </w:r>
    </w:p>
    <w:p w:rsid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67589" w:rsidRDefault="00C67589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67589" w:rsidRDefault="00C67589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</w:pPr>
      <w:r w:rsidRPr="00C02206"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  <w:lastRenderedPageBreak/>
        <w:t>DESCRIPCIÓN DEL ESCENARIO DE RIESGO:</w:t>
      </w:r>
    </w:p>
    <w:p w:rsid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</w:pPr>
    </w:p>
    <w:p w:rsidR="00C67589" w:rsidRPr="00C02206" w:rsidRDefault="00C67589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</w:pPr>
    </w:p>
    <w:p w:rsid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De acuerdo con las inspecciones realizadas por el grupo de movimientos en masa del Equipo Técnico del DAGRD, el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 xml:space="preserve">24 de junio de 2025 a las 03:30 </w:t>
      </w:r>
      <w:proofErr w:type="spellStart"/>
      <w:proofErr w:type="gramStart"/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a.?</w:t>
      </w:r>
      <w:proofErr w:type="gramEnd"/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m</w:t>
      </w:r>
      <w:proofErr w:type="spellEnd"/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. se presentó un movimiento en masa en la m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argen derecha de la quebrada La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Seca, en jurisdicción del municipio de Bello, cerca del límite con Medellín. El fenómen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o, identificado como un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deslizamiento traslacional activo con características de flujo debido a la alta humedad d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el material, afectó un área con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 xml:space="preserve">una superficie de falla estimada de 143 metros de longitud, 50 metros de ancho y una profundidad aproximada de 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20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 xml:space="preserve">metros. Según el método de </w:t>
      </w:r>
      <w:proofErr w:type="spellStart"/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Cruden</w:t>
      </w:r>
      <w:proofErr w:type="spellEnd"/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 xml:space="preserve"> &amp; </w:t>
      </w:r>
      <w:proofErr w:type="spellStart"/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Varnes</w:t>
      </w:r>
      <w:proofErr w:type="spellEnd"/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 xml:space="preserve"> (1996), se estima que el volumen de ma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terial movilizado en la zona de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arranque fue de 75.000 m³, el cual descendió hasta el cauce de la quebrada, arras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trando material adicional en su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trayectoria y afectando la comunidad asentada aguas abajo.</w:t>
      </w:r>
    </w:p>
    <w:p w:rsidR="00C02206" w:rsidRP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La inspección conjunta del 26 de junio de 2025 se realizó sobre la margen izquie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rda de la quebrada La Seca, que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corresponde a la jurisdicción del Distrito de Medellín, la cual presenta una inestabilidad general evidenciada e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n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desgarres superficiales y procesos erosivos activos. En el recorrido se observó un caud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al normal en la quebrada y alta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carga de sedimentos finos en la corriente, los cuales le daban un color café claro, ade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más de bloques rocosos métricos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 xml:space="preserve">y </w:t>
      </w:r>
      <w:proofErr w:type="spellStart"/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centimétricos</w:t>
      </w:r>
      <w:proofErr w:type="spellEnd"/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 xml:space="preserve">, restos de vegetación y de residuos sólidos en el cauce y sus 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alrededores. Adicionalmente, se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identificaron tres (3) zonas con mayores afectaciones:</w:t>
      </w:r>
    </w:p>
    <w:p w:rsidR="00C02206" w:rsidRP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 xml:space="preserve">1. Santo Domingo </w:t>
      </w:r>
      <w:proofErr w:type="spellStart"/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Savio</w:t>
      </w:r>
      <w:proofErr w:type="spellEnd"/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 xml:space="preserve"> No. 2 – al frente de la cantera Cañada Negra: en est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e lugar se encontraron las tres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viviendas afectadas que requirieron evacuación por riesgo ante movimientos en masa.</w:t>
      </w:r>
    </w:p>
    <w:p w:rsidR="00C02206" w:rsidRP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 xml:space="preserve">2. Límite entre los barrios Popular y La Isla: en esta zona se evacuaron múltiples 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viviendas mediante el IT 126598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debido a las afectaciones generadas por el flujo canalizado, tanto inundaciones como movimientos en masa.</w:t>
      </w:r>
    </w:p>
    <w:p w:rsidR="00C02206" w:rsidRP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3. Playón de Los Comuneros entre Carreras 50B y 52: en esta zona la que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brada se encuentra canalizada y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predominó el fenómeno de inundación, observando la infraestructura aled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aña cubierta de lodo y residuos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 xml:space="preserve">sólidos, especialmente los box </w:t>
      </w:r>
      <w:proofErr w:type="spellStart"/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culvert</w:t>
      </w:r>
      <w:proofErr w:type="spellEnd"/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 xml:space="preserve"> de las carreras 50B y 52. No se requirieron evacuaciones.</w:t>
      </w:r>
    </w:p>
    <w:p w:rsidR="00C02206" w:rsidRP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Con la inspección se evaluó el estado del terreno y de las viviendas ubicadas en la zo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na de retiro. De esta manera se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identificaron tres (3) edificaciones afectadas por el evento, de manera directa e indirect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a, cuya situación se describe a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continuación.</w:t>
      </w:r>
    </w:p>
    <w:p w:rsidR="00C02206" w:rsidRP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02206" w:rsidRP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</w:rPr>
      </w:pPr>
      <w:r w:rsidRPr="00C02206">
        <w:rPr>
          <w:rFonts w:ascii="Century Gothic" w:eastAsia="Cambria" w:hAnsi="Century Gothic" w:cs="Arial"/>
          <w:b/>
          <w:color w:val="616160"/>
          <w:sz w:val="24"/>
          <w:szCs w:val="24"/>
        </w:rPr>
        <w:t>Edificación 1</w:t>
      </w:r>
    </w:p>
    <w:p w:rsid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</w:rPr>
      </w:pPr>
    </w:p>
    <w:p w:rsid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</w:rPr>
      </w:pPr>
      <w:r w:rsidRPr="00C02206">
        <w:rPr>
          <w:rFonts w:ascii="Century Gothic" w:eastAsia="Cambria" w:hAnsi="Century Gothic" w:cs="Arial"/>
          <w:b/>
          <w:color w:val="616160"/>
          <w:sz w:val="24"/>
          <w:szCs w:val="24"/>
        </w:rPr>
        <w:t>Ubicación: 6,300939; -75,539544</w:t>
      </w:r>
    </w:p>
    <w:p w:rsidR="00C02206" w:rsidRP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</w:rPr>
      </w:pPr>
    </w:p>
    <w:p w:rsidR="00C05E9B" w:rsidRDefault="00C02206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Corresponde a una estructura de 1 nivel con sistema estructural tipo muros de carga compuestos por mampostería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 xml:space="preserve">simple en la parte posterior y madera en la parte frontal, con cubierta de lámina de 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zinc soportada en estructura de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madera. Esta vivienda presenta deficiencias tanto en el método constructivo com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o en los materiales, además del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des confinamiento de su suelo de fundación causado por un deslizamiento traslacional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presentado, según los vecinos,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aproximadamente el 23 de junio. Esta situación generó el colapso parcial de esta viviend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a y de otra ubicada en la parte </w:t>
      </w:r>
      <w:r w:rsidRPr="00C02206">
        <w:rPr>
          <w:rFonts w:ascii="Century Gothic" w:eastAsia="Cambria" w:hAnsi="Century Gothic" w:cs="Arial"/>
          <w:color w:val="616160"/>
          <w:sz w:val="24"/>
          <w:szCs w:val="24"/>
        </w:rPr>
        <w:t>media del talud, afectando también una tercera vivienda ubicada al final del sendero peatonal, en la parte baja del</w:t>
      </w:r>
      <w:r w:rsidR="00C05E9B"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="00C05E9B" w:rsidRPr="00C05E9B">
        <w:rPr>
          <w:rFonts w:ascii="Century Gothic" w:eastAsia="Cambria" w:hAnsi="Century Gothic" w:cs="Arial"/>
          <w:color w:val="616160"/>
          <w:sz w:val="24"/>
          <w:szCs w:val="24"/>
        </w:rPr>
        <w:t xml:space="preserve">talud. </w:t>
      </w:r>
    </w:p>
    <w:p w:rsid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 xml:space="preserve">La vivienda se ubica en el sendero peatonal principal con nomenclatura CR 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28F #111-190 y su acceso es por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escaleras en concreto. Esta zona corresponde a la parte alta de un talud de pendie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nte escarpada (~60°), compuesto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por suelo limoso con bloques del perfil de meteorización de la Dunita de Medel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lín y por un lleno antrópico no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estructural, cubierto por pastos altos y un árbol pequeño. Las viviendas y el talud no c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uentan con obras para el manejo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de aguas de escorrentía ni de estabilización.</w:t>
      </w:r>
    </w:p>
    <w:p w:rsidR="00C05E9B" w:rsidRP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La vivienda se encontró deshabitada en el momento de la visita y gracias a la in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formación proporcionada por los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vecinos se identificó la siguiente dirección:</w:t>
      </w:r>
    </w:p>
    <w:p w:rsidR="00C05E9B" w:rsidRP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05E9B" w:rsidRP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</w:rPr>
      </w:pPr>
      <w:r w:rsidRPr="00C05E9B">
        <w:rPr>
          <w:rFonts w:ascii="Century Gothic" w:eastAsia="Cambria" w:hAnsi="Century Gothic" w:cs="Arial"/>
          <w:b/>
          <w:color w:val="616160"/>
          <w:sz w:val="24"/>
          <w:szCs w:val="24"/>
        </w:rPr>
        <w:t>1. CARRERA 28F # 111 – 190 Interior 179</w:t>
      </w:r>
    </w:p>
    <w:p w:rsid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La edificación no se encuentra dentro de la zona de retiro de la quebrada La Seca, p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ero sí en zona con condición de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riesgo por movimientos en masa, además, no es habitable por su vulnerabilidad física alta, debido a que fue cons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truida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 xml:space="preserve">sin atender a criterios técnicos de diseño ni normas de construcción </w:t>
      </w:r>
      <w:proofErr w:type="spellStart"/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sismorresistente</w:t>
      </w:r>
      <w:proofErr w:type="spellEnd"/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, utilizando materiales de baja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calidad. Por estas razones se recomienda su evacuación temporal, en donde el propietar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io de la vivienda debe realizar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el desmonte controlado de la edificación y, en caso de construir una nueva edificación en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el sitio, debe tener en cuenta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que deberá solicitar la licencia de construcción respectiva, según el decreto 1469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de 2010 (Licencias y Sanciones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Urbanísticas) y cumplir con las exigencias técnicas expuestas en la Norma Sismo Resistente del 2010, NSR-10.</w:t>
      </w:r>
    </w:p>
    <w:p w:rsid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67589" w:rsidRDefault="00C67589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67589" w:rsidRDefault="00C67589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67589" w:rsidRDefault="00C67589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67589" w:rsidRPr="00C05E9B" w:rsidRDefault="00C67589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</w:rPr>
      </w:pPr>
      <w:r w:rsidRPr="00C05E9B">
        <w:rPr>
          <w:rFonts w:ascii="Century Gothic" w:eastAsia="Cambria" w:hAnsi="Century Gothic" w:cs="Arial"/>
          <w:b/>
          <w:color w:val="616160"/>
          <w:sz w:val="24"/>
          <w:szCs w:val="24"/>
        </w:rPr>
        <w:lastRenderedPageBreak/>
        <w:t>Edificación 2</w:t>
      </w:r>
    </w:p>
    <w:p w:rsidR="00C67589" w:rsidRPr="00C05E9B" w:rsidRDefault="00C67589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</w:rPr>
      </w:pPr>
    </w:p>
    <w:p w:rsid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</w:rPr>
      </w:pPr>
      <w:r w:rsidRPr="00C05E9B">
        <w:rPr>
          <w:rFonts w:ascii="Century Gothic" w:eastAsia="Cambria" w:hAnsi="Century Gothic" w:cs="Arial"/>
          <w:b/>
          <w:color w:val="616160"/>
          <w:sz w:val="24"/>
          <w:szCs w:val="24"/>
        </w:rPr>
        <w:t>Ubicación: 6,300983; -75,539382</w:t>
      </w:r>
    </w:p>
    <w:p w:rsidR="00C05E9B" w:rsidRP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</w:rPr>
      </w:pPr>
    </w:p>
    <w:p w:rsid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Consiste en una estructura de 1 nivel con sistema estructural tipo muros de carga co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mpuestos por mampostería simple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 xml:space="preserve">y madera, con cubierta de lámina de zinc soportada en estructura de madera. Presenta 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deficiencias tanto en el método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constructivo como en los materiales y colapso parcial debido a la caída de material proveniente del deslizamiento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ocurrido en la base de la Edificación 1. Se ubica en la parte media de un talud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de pendiente escarpada (~60°),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compuesto por suelo limoso con bloques del perfil de meteorización de la Dunita de Me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dellín y por un lleno antrópico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no estructural, cubierto por pastos altos y un árbol pequeño. La vivienda y el talud no c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uentan con obras para el manejo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 xml:space="preserve">de aguas de escorrentía ni de estabilización. Su acceso es a través de un sendero 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peatonal en escalas de concreto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que pasa a camino en tierra, ingresando por la dirección de referencia CR 28F #111-190, al lado de la Edificación 1.</w:t>
      </w:r>
    </w:p>
    <w:p w:rsidR="00C05E9B" w:rsidRP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Se identificó 1 núcleo familiar en la vivienda, cuya dirección y nombre de uno de sus habitantes es:</w:t>
      </w:r>
    </w:p>
    <w:p w:rsidR="00C05E9B" w:rsidRP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05E9B" w:rsidRP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 xml:space="preserve">1. CARRERA 28F # 111 - 190 Interior 179 de referencia – José Alexander </w:t>
      </w:r>
      <w:proofErr w:type="spellStart"/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Calpavire</w:t>
      </w:r>
      <w:proofErr w:type="spellEnd"/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 xml:space="preserve"> Ríos. </w:t>
      </w:r>
      <w:proofErr w:type="spellStart"/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Cel</w:t>
      </w:r>
      <w:proofErr w:type="spellEnd"/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: 3169169526.</w:t>
      </w:r>
    </w:p>
    <w:p w:rsid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La edificación no es habitable porque presenta colapso parcial y una vulnerabilid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ad física alta debido a que fue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 xml:space="preserve">construida sin atender a criterios técnicos de diseño ni normas de construcción </w:t>
      </w:r>
      <w:proofErr w:type="spellStart"/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sismorre</w:t>
      </w:r>
      <w:r>
        <w:rPr>
          <w:rFonts w:ascii="Century Gothic" w:eastAsia="Cambria" w:hAnsi="Century Gothic" w:cs="Arial"/>
          <w:color w:val="616160"/>
          <w:sz w:val="24"/>
          <w:szCs w:val="24"/>
        </w:rPr>
        <w:t>sistente</w:t>
      </w:r>
      <w:proofErr w:type="spellEnd"/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, utilizando materiales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de baja calidad, además, el terreno sobre el que se encuentra es inestable y pose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e una susceptibilidad alta ante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deslizamientos, desgarres y procesos erosivos, estando ubicada dentro de la zona de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retiro de la quebrada La Seca,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por lo cual se recomienda su evacuación definitiva, en donde el propietario de la viv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ienda debe realizar el desmonte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controlado de la edificación.</w:t>
      </w:r>
    </w:p>
    <w:p w:rsidR="00C05E9B" w:rsidRP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05E9B" w:rsidRP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</w:rPr>
      </w:pPr>
      <w:r w:rsidRPr="00C05E9B">
        <w:rPr>
          <w:rFonts w:ascii="Century Gothic" w:eastAsia="Cambria" w:hAnsi="Century Gothic" w:cs="Arial"/>
          <w:b/>
          <w:color w:val="616160"/>
          <w:sz w:val="24"/>
          <w:szCs w:val="24"/>
        </w:rPr>
        <w:t>Edificación 3</w:t>
      </w:r>
    </w:p>
    <w:p w:rsid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</w:rPr>
      </w:pPr>
    </w:p>
    <w:p w:rsidR="00C05E9B" w:rsidRP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</w:rPr>
      </w:pPr>
      <w:r w:rsidRPr="00C05E9B">
        <w:rPr>
          <w:rFonts w:ascii="Century Gothic" w:eastAsia="Cambria" w:hAnsi="Century Gothic" w:cs="Arial"/>
          <w:b/>
          <w:color w:val="616160"/>
          <w:sz w:val="24"/>
          <w:szCs w:val="24"/>
        </w:rPr>
        <w:t>Ubicación: 6,301015; -75,539318</w:t>
      </w:r>
    </w:p>
    <w:p w:rsid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C05E9B" w:rsidRDefault="00C05E9B" w:rsidP="00C05E9B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 xml:space="preserve">Consiste en una estructura de 1 nivel con sistema estructural tipo muros de carga compuestos por 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mampostería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simple, con cubierta de tejas de policarbonato ondulado soportada en estructura d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e madera. Presenta deficiencias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tanto en el método constructivo como en los materiales y recibió parte del materia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l proveniente del deslizamiento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ocurrido en la base de la Edificación 1. Se ubica aproximadamente a 3 metros del cauc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e de la quebrada La Seca, en la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parte baja de un talud de pendiente escarpada (~60°), compuesto por suelo l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imoso con bloques del perfil de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lastRenderedPageBreak/>
        <w:t xml:space="preserve">meteorización de la Dunita de Medellín y por un lleno antrópico no estructural. En 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esta zona el suelo se encuentra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desnudo y el día de la emergencia la corriente erosionó la margen izquierda,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generando desprendimientos que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arrasaron con aproximadamente 1.5 metros de suelo, según lo manifestado por los hab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itantes. Alrededor del lugar se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observaron también plantas de plátano, las cuales se conocen por propiciar la inestabilid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ad del terreno debido a la gran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cantidad de agua que pueden almacenar en su tallo, la cual es transmitida constantemente al sustrato. Del mismo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modo que las viviendas anteriores, esta no cuenta con obras para el manejo de aguas de escorrentía ni de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estabilización. Su acceso es a través del mismo sendero peatonal de la Edificación 2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, siendo la última vivienda del </w:t>
      </w:r>
      <w:r w:rsidRPr="00C05E9B">
        <w:rPr>
          <w:rFonts w:ascii="Century Gothic" w:eastAsia="Cambria" w:hAnsi="Century Gothic" w:cs="Arial"/>
          <w:color w:val="616160"/>
          <w:sz w:val="24"/>
          <w:szCs w:val="24"/>
        </w:rPr>
        <w:t>acceso.</w:t>
      </w:r>
    </w:p>
    <w:p w:rsidR="00C02206" w:rsidRDefault="00C02206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0E14EE" w:rsidRDefault="000E14EE" w:rsidP="000E14EE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0E14EE">
        <w:rPr>
          <w:rFonts w:ascii="Century Gothic" w:eastAsia="Cambria" w:hAnsi="Century Gothic" w:cs="Arial"/>
          <w:color w:val="616160"/>
          <w:sz w:val="24"/>
          <w:szCs w:val="24"/>
        </w:rPr>
        <w:t>En la visita se identificó la siguiente dirección y un núcleo familiar compuesto por:</w:t>
      </w:r>
    </w:p>
    <w:p w:rsidR="000E14EE" w:rsidRPr="000E14EE" w:rsidRDefault="000E14EE" w:rsidP="000E14EE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0E14EE" w:rsidRPr="000E14EE" w:rsidRDefault="000E14EE" w:rsidP="000E14EE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0E14EE">
        <w:rPr>
          <w:rFonts w:ascii="Century Gothic" w:eastAsia="Cambria" w:hAnsi="Century Gothic" w:cs="Arial"/>
          <w:color w:val="616160"/>
          <w:sz w:val="24"/>
          <w:szCs w:val="24"/>
        </w:rPr>
        <w:t xml:space="preserve">1. CARRERA 28F # 111 – 190 Interior 179 de referencia. </w:t>
      </w:r>
      <w:proofErr w:type="spellStart"/>
      <w:r w:rsidRPr="000E14EE">
        <w:rPr>
          <w:rFonts w:ascii="Century Gothic" w:eastAsia="Cambria" w:hAnsi="Century Gothic" w:cs="Arial"/>
          <w:color w:val="616160"/>
          <w:sz w:val="24"/>
          <w:szCs w:val="24"/>
        </w:rPr>
        <w:t>Cel</w:t>
      </w:r>
      <w:proofErr w:type="spellEnd"/>
      <w:r w:rsidRPr="000E14EE">
        <w:rPr>
          <w:rFonts w:ascii="Century Gothic" w:eastAsia="Cambria" w:hAnsi="Century Gothic" w:cs="Arial"/>
          <w:color w:val="616160"/>
          <w:sz w:val="24"/>
          <w:szCs w:val="24"/>
        </w:rPr>
        <w:t>: 3044267462</w:t>
      </w:r>
    </w:p>
    <w:p w:rsidR="000E14EE" w:rsidRPr="000E14EE" w:rsidRDefault="000E14EE" w:rsidP="000E14EE">
      <w:pPr>
        <w:pStyle w:val="Prrafodelista"/>
        <w:numPr>
          <w:ilvl w:val="0"/>
          <w:numId w:val="16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0E14EE">
        <w:rPr>
          <w:rFonts w:ascii="Century Gothic" w:eastAsia="Cambria" w:hAnsi="Century Gothic" w:cs="Arial"/>
          <w:color w:val="616160"/>
          <w:sz w:val="24"/>
          <w:szCs w:val="24"/>
        </w:rPr>
        <w:t xml:space="preserve">Anderson Castillo </w:t>
      </w:r>
    </w:p>
    <w:p w:rsidR="000E14EE" w:rsidRPr="000E14EE" w:rsidRDefault="000E14EE" w:rsidP="000E14EE">
      <w:pPr>
        <w:pStyle w:val="Prrafodelista"/>
        <w:numPr>
          <w:ilvl w:val="0"/>
          <w:numId w:val="16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proofErr w:type="spellStart"/>
      <w:r w:rsidRPr="000E14EE">
        <w:rPr>
          <w:rFonts w:ascii="Century Gothic" w:eastAsia="Cambria" w:hAnsi="Century Gothic" w:cs="Arial"/>
          <w:color w:val="616160"/>
          <w:sz w:val="24"/>
          <w:szCs w:val="24"/>
        </w:rPr>
        <w:t>Maholis</w:t>
      </w:r>
      <w:proofErr w:type="spellEnd"/>
      <w:r w:rsidRPr="000E14EE">
        <w:rPr>
          <w:rFonts w:ascii="Century Gothic" w:eastAsia="Cambria" w:hAnsi="Century Gothic" w:cs="Arial"/>
          <w:color w:val="616160"/>
          <w:sz w:val="24"/>
          <w:szCs w:val="24"/>
        </w:rPr>
        <w:t xml:space="preserve"> Sofía </w:t>
      </w:r>
      <w:proofErr w:type="spellStart"/>
      <w:r w:rsidRPr="000E14EE">
        <w:rPr>
          <w:rFonts w:ascii="Century Gothic" w:eastAsia="Cambria" w:hAnsi="Century Gothic" w:cs="Arial"/>
          <w:color w:val="616160"/>
          <w:sz w:val="24"/>
          <w:szCs w:val="24"/>
        </w:rPr>
        <w:t>Osten</w:t>
      </w:r>
      <w:proofErr w:type="spellEnd"/>
      <w:r w:rsidRPr="000E14EE">
        <w:rPr>
          <w:rFonts w:ascii="Century Gothic" w:eastAsia="Cambria" w:hAnsi="Century Gothic" w:cs="Arial"/>
          <w:color w:val="616160"/>
          <w:sz w:val="24"/>
          <w:szCs w:val="24"/>
        </w:rPr>
        <w:t xml:space="preserve"> Miranda</w:t>
      </w:r>
    </w:p>
    <w:p w:rsidR="000E14EE" w:rsidRPr="000E14EE" w:rsidRDefault="000E14EE" w:rsidP="000E14EE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0E14EE" w:rsidRDefault="000E14EE" w:rsidP="000E14EE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0E14EE">
        <w:rPr>
          <w:rFonts w:ascii="Century Gothic" w:eastAsia="Cambria" w:hAnsi="Century Gothic" w:cs="Arial"/>
          <w:color w:val="616160"/>
          <w:sz w:val="24"/>
          <w:szCs w:val="24"/>
        </w:rPr>
        <w:t>Si bien la vivienda es habitable, presenta una vulnerabilidad física alta debido a q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ue fue construida sin atender a </w:t>
      </w:r>
      <w:r w:rsidRPr="000E14EE">
        <w:rPr>
          <w:rFonts w:ascii="Century Gothic" w:eastAsia="Cambria" w:hAnsi="Century Gothic" w:cs="Arial"/>
          <w:color w:val="616160"/>
          <w:sz w:val="24"/>
          <w:szCs w:val="24"/>
        </w:rPr>
        <w:t xml:space="preserve">criterios técnicos de diseño ni normas de construcción </w:t>
      </w:r>
      <w:proofErr w:type="spellStart"/>
      <w:r w:rsidRPr="000E14EE">
        <w:rPr>
          <w:rFonts w:ascii="Century Gothic" w:eastAsia="Cambria" w:hAnsi="Century Gothic" w:cs="Arial"/>
          <w:color w:val="616160"/>
          <w:sz w:val="24"/>
          <w:szCs w:val="24"/>
        </w:rPr>
        <w:t>sismorresistente</w:t>
      </w:r>
      <w:proofErr w:type="spellEnd"/>
      <w:r w:rsidRPr="000E14EE">
        <w:rPr>
          <w:rFonts w:ascii="Century Gothic" w:eastAsia="Cambria" w:hAnsi="Century Gothic" w:cs="Arial"/>
          <w:color w:val="616160"/>
          <w:sz w:val="24"/>
          <w:szCs w:val="24"/>
        </w:rPr>
        <w:t>, utilizando mate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riales de baja calidad; además, </w:t>
      </w:r>
      <w:r w:rsidRPr="000E14EE">
        <w:rPr>
          <w:rFonts w:ascii="Century Gothic" w:eastAsia="Cambria" w:hAnsi="Century Gothic" w:cs="Arial"/>
          <w:color w:val="616160"/>
          <w:sz w:val="24"/>
          <w:szCs w:val="24"/>
        </w:rPr>
        <w:t>el terreno sobre el que se encuentra es inestable y posee una susceptibilidad alta a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nte deslizamientos, desgarres y </w:t>
      </w:r>
      <w:r w:rsidRPr="000E14EE">
        <w:rPr>
          <w:rFonts w:ascii="Century Gothic" w:eastAsia="Cambria" w:hAnsi="Century Gothic" w:cs="Arial"/>
          <w:color w:val="616160"/>
          <w:sz w:val="24"/>
          <w:szCs w:val="24"/>
        </w:rPr>
        <w:t>procesos erosivos, estando ubicada dentro de la zona de retiro de la quebrada La Sec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a, por lo cual se recomienda su </w:t>
      </w:r>
      <w:r w:rsidRPr="000E14EE">
        <w:rPr>
          <w:rFonts w:ascii="Century Gothic" w:eastAsia="Cambria" w:hAnsi="Century Gothic" w:cs="Arial"/>
          <w:color w:val="616160"/>
          <w:sz w:val="24"/>
          <w:szCs w:val="24"/>
        </w:rPr>
        <w:t>evacuación definitiva, en donde el propietario de la vivienda debe realizar el desmonte controlado de la edificación.</w:t>
      </w:r>
    </w:p>
    <w:p w:rsidR="000E14EE" w:rsidRDefault="000E14EE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0E14EE" w:rsidRDefault="000E14EE" w:rsidP="00C02206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372114" w:rsidRDefault="00372114" w:rsidP="00372114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</w:pPr>
      <w:r w:rsidRPr="00372114"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  <w:t>POSIBLES CAUSAS:</w:t>
      </w:r>
    </w:p>
    <w:p w:rsidR="00372114" w:rsidRPr="00372114" w:rsidRDefault="00372114" w:rsidP="00372114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</w:pPr>
    </w:p>
    <w:p w:rsidR="00372114" w:rsidRDefault="00372114" w:rsidP="00372114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Basado en la condición de riesgo actual, a continuación, se describen los fa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ctores que se pueden considerar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condicionantes y detonantes del evento:</w:t>
      </w:r>
    </w:p>
    <w:p w:rsidR="00372114" w:rsidRPr="00372114" w:rsidRDefault="00372114" w:rsidP="00372114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372114" w:rsidRPr="00372114" w:rsidRDefault="00372114" w:rsidP="00372114">
      <w:pPr>
        <w:pStyle w:val="Prrafodelista"/>
        <w:numPr>
          <w:ilvl w:val="0"/>
          <w:numId w:val="17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Pendiente del terreno: la zona en donde ocurrió el deslizamiento presenta pendientes que varían entre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 abruptas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y escarpadas, con inclinaciones superiores a los 30 grados. Estas co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ndiciones topográficas aumentan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significativamente la susceptibilidad a procesos de inestabilidad del terreno, al fa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vorecer la acción gravitacional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sobre los materiales superficiales.</w:t>
      </w:r>
    </w:p>
    <w:p w:rsidR="00372114" w:rsidRPr="00372114" w:rsidRDefault="00372114" w:rsidP="00372114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372114" w:rsidRPr="00372114" w:rsidRDefault="00372114" w:rsidP="00372114">
      <w:pPr>
        <w:pStyle w:val="Prrafodelista"/>
        <w:numPr>
          <w:ilvl w:val="0"/>
          <w:numId w:val="17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Características del suelo y la geología local: el suelo predominante correspon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de a materiales </w:t>
      </w:r>
      <w:proofErr w:type="spellStart"/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limoarcillosos</w:t>
      </w:r>
      <w:proofErr w:type="spellEnd"/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,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derivados de la alteración de rocas </w:t>
      </w:r>
      <w:proofErr w:type="spellStart"/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ultramáficas</w:t>
      </w:r>
      <w:proofErr w:type="spellEnd"/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 pertenecientes a la formación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 geológica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lastRenderedPageBreak/>
        <w:t xml:space="preserve">conocida como Dunita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de Medellín. Esta unidad geológica presenta un comportamiento mecánico de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sfavorable frente a procesos de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saturación e incremento de esfuerzos cortantes, lo que la hace altamente propensa a deslizamientos.</w:t>
      </w:r>
    </w:p>
    <w:p w:rsidR="00372114" w:rsidRPr="00372114" w:rsidRDefault="00372114" w:rsidP="00372114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372114" w:rsidRPr="00372114" w:rsidRDefault="00372114" w:rsidP="00372114">
      <w:pPr>
        <w:pStyle w:val="Prrafodelista"/>
        <w:numPr>
          <w:ilvl w:val="0"/>
          <w:numId w:val="17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Condiciones hidrogeológicas asociadas a la Dunita de Medellín: el área muestra un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 ambiente </w:t>
      </w:r>
      <w:proofErr w:type="spellStart"/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pseudo</w:t>
      </w:r>
      <w:proofErr w:type="spellEnd"/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-kárstico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característico de la Dunita, el cual favorece la presencia de fracturas, disoluciones y cavidades que facilitan la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infiltración y la acumulación subterránea de agua. Como resultado, se presentan afloramientos espontáneos de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agua en múltiples puntos, que contribuyen a la saturación del suelo y reducen su resistencia al corte.</w:t>
      </w:r>
    </w:p>
    <w:p w:rsidR="00372114" w:rsidRPr="00372114" w:rsidRDefault="00372114" w:rsidP="00372114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372114" w:rsidRPr="00372114" w:rsidRDefault="00372114" w:rsidP="00372114">
      <w:pPr>
        <w:pStyle w:val="Prrafodelista"/>
        <w:numPr>
          <w:ilvl w:val="0"/>
          <w:numId w:val="17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Al consultar el repositorio público de redes en el </w:t>
      </w:r>
      <w:proofErr w:type="spellStart"/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geoportal</w:t>
      </w:r>
      <w:proofErr w:type="spellEnd"/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 de Empresas Públicas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 de Medellín EPM, se identificó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una presunta estructura hidráulica de dimensiones y geometría desconocida c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uyo alineamiento coincide en un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tramo especifico con la corona del fenómeno amenazante de interés, por lo cual,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 es fundamental conocer y tener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acceso a los reportes antecedentes históricos de operación y mantenimiento of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iciales de dicho elemento, como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también a sus especificaciones y al pronunciamiento oficial al respecto de su est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ado después de materializado el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escenario de riesgo y a las posibles coordenadas actuales de puntos de con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exión identificados asociados a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presuntos fraudes.</w:t>
      </w:r>
    </w:p>
    <w:p w:rsidR="00372114" w:rsidRPr="00372114" w:rsidRDefault="00372114" w:rsidP="00372114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372114" w:rsidRPr="00372114" w:rsidRDefault="00372114" w:rsidP="00372114">
      <w:pPr>
        <w:pStyle w:val="Prrafodelista"/>
        <w:numPr>
          <w:ilvl w:val="0"/>
          <w:numId w:val="17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Transformación del deslizamiento en flujo canalizado: el depósito generado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por el movimiento en masa en la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margen derecha de la quebrada La Seca (vereda Granizal, Bello) evolucionó hacia un flujo canaliz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ado de lodo,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rocas y escombros, el cual fue dirigido naturalmente hacia el cauce de la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 quebrada, generando un aumento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abrupto del caudal sólido y líquido.</w:t>
      </w:r>
    </w:p>
    <w:p w:rsidR="00372114" w:rsidRPr="00372114" w:rsidRDefault="00372114" w:rsidP="00372114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372114" w:rsidRPr="00372114" w:rsidRDefault="00372114" w:rsidP="00372114">
      <w:pPr>
        <w:pStyle w:val="Prrafodelista"/>
        <w:numPr>
          <w:ilvl w:val="0"/>
          <w:numId w:val="17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Sobrecarga del sistema hidráulico existente: la infraestructura de los Box </w:t>
      </w:r>
      <w:proofErr w:type="spellStart"/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Culvert</w:t>
      </w:r>
      <w:proofErr w:type="spellEnd"/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 de las Carreras 50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B y 52,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diseñada para transportar caudales ordinarios, no contaba con la capacidad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 hidráulica ni estructural para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conducir el volumen extraordinario y la carga sólida arrastrada por el flu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jo canalizado, lo que generó un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desbordamiento por insuficiencia de sección transversal.</w:t>
      </w:r>
    </w:p>
    <w:p w:rsidR="00372114" w:rsidRPr="00372114" w:rsidRDefault="00372114" w:rsidP="00372114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372114" w:rsidRPr="00372114" w:rsidRDefault="00372114" w:rsidP="00372114">
      <w:pPr>
        <w:pStyle w:val="Prrafodelista"/>
        <w:numPr>
          <w:ilvl w:val="0"/>
          <w:numId w:val="17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Colmatación de Box </w:t>
      </w:r>
      <w:proofErr w:type="spellStart"/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Culvert</w:t>
      </w:r>
      <w:proofErr w:type="spellEnd"/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: los conductos fueron obstruidos por bloques </w:t>
      </w:r>
      <w:proofErr w:type="spellStart"/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ce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ntimétricos</w:t>
      </w:r>
      <w:proofErr w:type="spellEnd"/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 de roca, escombros,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residuos vegetales y sólidos urbanos, lo cual impidió completamente el paso del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 flujo. Esta obstrucción generó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un efecto represado y posterior rebose por las vía urbanas alrededor.</w:t>
      </w:r>
    </w:p>
    <w:p w:rsidR="00372114" w:rsidRPr="00372114" w:rsidRDefault="00372114" w:rsidP="00372114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372114" w:rsidRDefault="00372114" w:rsidP="00372114">
      <w:pPr>
        <w:pStyle w:val="Prrafodelista"/>
        <w:numPr>
          <w:ilvl w:val="0"/>
          <w:numId w:val="17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lastRenderedPageBreak/>
        <w:t xml:space="preserve">Características topográficas y urbanas del entorno: las vías alrededor de los Box </w:t>
      </w:r>
      <w:proofErr w:type="spellStart"/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Culvert</w:t>
      </w:r>
      <w:proofErr w:type="spellEnd"/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 de las Carreras 50B y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52 actúan como ejes longitudinales que canalizan naturalmente los flujos superficiales en caso de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desbordamiento. Esto facilitó que el flujo de lodo se desplazara cuesta abajo por las vías, afectando viviendas,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infraestructura pública y privada.</w:t>
      </w:r>
    </w:p>
    <w:p w:rsidR="00372114" w:rsidRPr="00372114" w:rsidRDefault="00372114" w:rsidP="00372114">
      <w:pPr>
        <w:pStyle w:val="Prrafodelista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372114" w:rsidRDefault="00372114" w:rsidP="00372114">
      <w:pPr>
        <w:pStyle w:val="Prrafodelista"/>
        <w:numPr>
          <w:ilvl w:val="0"/>
          <w:numId w:val="17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Aporte de lodos y materiales finos: el material fino (limo y arcilla saturada) proveniente del deslizamiento se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integró al flujo, lo que incrementó su densidad y capacidad de arrastre, facilitando la intrusión de lodo en </w:t>
      </w:r>
      <w:proofErr w:type="spellStart"/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lasviviendas</w:t>
      </w:r>
      <w:proofErr w:type="spellEnd"/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 a través de los accesos y generando manchas visibles en fachadas.</w:t>
      </w:r>
    </w:p>
    <w:p w:rsidR="00372114" w:rsidRDefault="00372114" w:rsidP="00372114">
      <w:pPr>
        <w:pStyle w:val="Prrafodelista"/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372114" w:rsidRDefault="00372114" w:rsidP="00372114">
      <w:pPr>
        <w:pStyle w:val="Prrafodelista"/>
        <w:numPr>
          <w:ilvl w:val="0"/>
          <w:numId w:val="17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Presencia de residuos sólidos y falta de mantenimiento preventivo: la acumulación previa de residuos sólidos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 xml:space="preserve">dentro y en los alrededores de los box </w:t>
      </w:r>
      <w:proofErr w:type="spellStart"/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culvert</w:t>
      </w:r>
      <w:proofErr w:type="spellEnd"/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, producto de una inadecuada gestión de residuos, agravó la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colmatación y contribuyó al colapso del sistema de drenaje.</w:t>
      </w:r>
    </w:p>
    <w:p w:rsidR="00372114" w:rsidRPr="00372114" w:rsidRDefault="00372114" w:rsidP="00372114">
      <w:pPr>
        <w:pStyle w:val="Prrafodelista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372114" w:rsidRDefault="00372114" w:rsidP="00372114">
      <w:pPr>
        <w:pStyle w:val="Prrafodelista"/>
        <w:numPr>
          <w:ilvl w:val="0"/>
          <w:numId w:val="17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Erosión y desgarres marginales del cauce: la fuerza erosiva del flujo de la quebrada La Seca generó desgarres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superficiales en sus márgenes, afectando su estabilidad y generando condiciones de riesgo estructural para las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viviendas localizadas en zonas de retiro o de protección hídrica.</w:t>
      </w:r>
    </w:p>
    <w:p w:rsidR="00372114" w:rsidRPr="00372114" w:rsidRDefault="00372114" w:rsidP="00372114">
      <w:pPr>
        <w:pStyle w:val="Prrafodelista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0E14EE" w:rsidRPr="00372114" w:rsidRDefault="00372114" w:rsidP="00372114">
      <w:pPr>
        <w:pStyle w:val="Prrafodelista"/>
        <w:numPr>
          <w:ilvl w:val="0"/>
          <w:numId w:val="17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Ocupación de la zona de retiro del cauce: la presencia de viviendas construidas dentro de la zona de ronda o</w:t>
      </w:r>
      <w:r w:rsidR="00B51678"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retiro obligatorio de la quebrada exacerbó el nivel de afectación, al encontrarse directamente expuestas a la</w:t>
      </w:r>
      <w:r w:rsidR="00012ADC"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acción hidráulica y erosiva del evento. Además, la ausencia de obras de manejo de aguas de escorrentía en</w:t>
      </w:r>
      <w:r w:rsidR="00B51678"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estas viviendas ha generado constantemente desgarres superficiales que se evidencian por las cicatrices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372114">
        <w:rPr>
          <w:rFonts w:ascii="Century Gothic" w:eastAsia="Cambria" w:hAnsi="Century Gothic" w:cs="Arial"/>
          <w:color w:val="616160"/>
          <w:sz w:val="24"/>
          <w:szCs w:val="24"/>
        </w:rPr>
        <w:t>visibles en el terreno.</w:t>
      </w:r>
    </w:p>
    <w:p w:rsidR="00372114" w:rsidRDefault="00372114" w:rsidP="00372114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AF445E" w:rsidRDefault="00AF445E" w:rsidP="00372114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AF445E" w:rsidRPr="00AF445E" w:rsidRDefault="00AF445E" w:rsidP="00AF445E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</w:pPr>
      <w:r w:rsidRPr="00AF445E">
        <w:rPr>
          <w:rFonts w:ascii="Century Gothic" w:eastAsia="Cambria" w:hAnsi="Century Gothic" w:cs="Arial"/>
          <w:b/>
          <w:color w:val="616160"/>
          <w:sz w:val="24"/>
          <w:szCs w:val="24"/>
          <w:u w:val="single"/>
        </w:rPr>
        <w:t>POSIBLES IMPACTOS EN LOS ELEMENTOS EXPUESTOS:</w:t>
      </w:r>
    </w:p>
    <w:p w:rsidR="00AF445E" w:rsidRDefault="00AF445E" w:rsidP="00AF445E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AF445E" w:rsidRDefault="00AF445E" w:rsidP="00AF445E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AF445E">
        <w:rPr>
          <w:rFonts w:ascii="Century Gothic" w:eastAsia="Cambria" w:hAnsi="Century Gothic" w:cs="Arial"/>
          <w:color w:val="616160"/>
          <w:sz w:val="24"/>
          <w:szCs w:val="24"/>
        </w:rPr>
        <w:t>Una vez analizadas las posibles causas y la dinámica del escenario, a continuación, se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enuncian los posibles impactos </w:t>
      </w:r>
      <w:r w:rsidRPr="00AF445E">
        <w:rPr>
          <w:rFonts w:ascii="Century Gothic" w:eastAsia="Cambria" w:hAnsi="Century Gothic" w:cs="Arial"/>
          <w:color w:val="616160"/>
          <w:sz w:val="24"/>
          <w:szCs w:val="24"/>
        </w:rPr>
        <w:t>sobre los elementos expuestos, de llegarse a presentar una evolución o nueva materialización el evento.</w:t>
      </w:r>
    </w:p>
    <w:p w:rsidR="00AF445E" w:rsidRPr="00AF445E" w:rsidRDefault="00AF445E" w:rsidP="00AF445E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AF445E" w:rsidRPr="00AF445E" w:rsidRDefault="00AF445E" w:rsidP="00AF445E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</w:rPr>
      </w:pPr>
      <w:r w:rsidRPr="00AF445E">
        <w:rPr>
          <w:rFonts w:ascii="Century Gothic" w:eastAsia="Cambria" w:hAnsi="Century Gothic" w:cs="Arial"/>
          <w:b/>
          <w:color w:val="616160"/>
          <w:sz w:val="24"/>
          <w:szCs w:val="24"/>
        </w:rPr>
        <w:t>Elementos Expuestos:</w:t>
      </w:r>
    </w:p>
    <w:p w:rsidR="00AF445E" w:rsidRDefault="00AF445E" w:rsidP="00AF445E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AF445E" w:rsidRPr="00615903" w:rsidRDefault="00AF445E" w:rsidP="00615903">
      <w:pPr>
        <w:pStyle w:val="Prrafodelista"/>
        <w:numPr>
          <w:ilvl w:val="0"/>
          <w:numId w:val="18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615903">
        <w:rPr>
          <w:rFonts w:ascii="Century Gothic" w:eastAsia="Cambria" w:hAnsi="Century Gothic" w:cs="Arial"/>
          <w:b/>
          <w:color w:val="616160"/>
          <w:sz w:val="24"/>
          <w:szCs w:val="24"/>
        </w:rPr>
        <w:lastRenderedPageBreak/>
        <w:t>Edificación 1:</w:t>
      </w:r>
      <w:r w:rsidRPr="00615903">
        <w:rPr>
          <w:rFonts w:ascii="Century Gothic" w:eastAsia="Cambria" w:hAnsi="Century Gothic" w:cs="Arial"/>
          <w:color w:val="616160"/>
          <w:sz w:val="24"/>
          <w:szCs w:val="24"/>
        </w:rPr>
        <w:t xml:space="preserve"> presenta una vulnerabilidad física alta al ubicarse al borde de </w:t>
      </w:r>
      <w:r w:rsidRPr="00615903">
        <w:rPr>
          <w:rFonts w:ascii="Century Gothic" w:eastAsia="Cambria" w:hAnsi="Century Gothic" w:cs="Arial"/>
          <w:color w:val="616160"/>
          <w:sz w:val="24"/>
          <w:szCs w:val="24"/>
        </w:rPr>
        <w:t xml:space="preserve">un talud de pendiente escarpada </w:t>
      </w:r>
      <w:r w:rsidRPr="00615903">
        <w:rPr>
          <w:rFonts w:ascii="Century Gothic" w:eastAsia="Cambria" w:hAnsi="Century Gothic" w:cs="Arial"/>
          <w:color w:val="616160"/>
          <w:sz w:val="24"/>
          <w:szCs w:val="24"/>
        </w:rPr>
        <w:t>compuesto por suelo, el cual es altamente susceptible a procesos erosivos y</w:t>
      </w:r>
      <w:r w:rsidRPr="00615903">
        <w:rPr>
          <w:rFonts w:ascii="Century Gothic" w:eastAsia="Cambria" w:hAnsi="Century Gothic" w:cs="Arial"/>
          <w:color w:val="616160"/>
          <w:sz w:val="24"/>
          <w:szCs w:val="24"/>
        </w:rPr>
        <w:t xml:space="preserve"> movimientos en masa, situación </w:t>
      </w:r>
      <w:r w:rsidRPr="00615903">
        <w:rPr>
          <w:rFonts w:ascii="Century Gothic" w:eastAsia="Cambria" w:hAnsi="Century Gothic" w:cs="Arial"/>
          <w:color w:val="616160"/>
          <w:sz w:val="24"/>
          <w:szCs w:val="24"/>
        </w:rPr>
        <w:t>agravada por la ausencia de obras de manejo de aguas de escorrentía.</w:t>
      </w:r>
    </w:p>
    <w:p w:rsidR="00AF445E" w:rsidRPr="00AF445E" w:rsidRDefault="00AF445E" w:rsidP="00AF445E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AF445E" w:rsidRPr="00615903" w:rsidRDefault="00AF445E" w:rsidP="00615903">
      <w:pPr>
        <w:pStyle w:val="Prrafodelista"/>
        <w:numPr>
          <w:ilvl w:val="0"/>
          <w:numId w:val="18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615903">
        <w:rPr>
          <w:rFonts w:ascii="Century Gothic" w:eastAsia="Cambria" w:hAnsi="Century Gothic" w:cs="Arial"/>
          <w:b/>
          <w:color w:val="616160"/>
          <w:sz w:val="24"/>
          <w:szCs w:val="24"/>
        </w:rPr>
        <w:t>Edificaciones 2 y 3</w:t>
      </w:r>
      <w:r w:rsidRPr="00615903">
        <w:rPr>
          <w:rFonts w:ascii="Century Gothic" w:eastAsia="Cambria" w:hAnsi="Century Gothic" w:cs="Arial"/>
          <w:color w:val="616160"/>
          <w:sz w:val="24"/>
          <w:szCs w:val="24"/>
        </w:rPr>
        <w:t>: independientemente de su vulnerabilidad física, su localizac</w:t>
      </w:r>
      <w:r w:rsidRPr="00615903">
        <w:rPr>
          <w:rFonts w:ascii="Century Gothic" w:eastAsia="Cambria" w:hAnsi="Century Gothic" w:cs="Arial"/>
          <w:color w:val="616160"/>
          <w:sz w:val="24"/>
          <w:szCs w:val="24"/>
        </w:rPr>
        <w:t xml:space="preserve">ión dentro de la zona de retiro </w:t>
      </w:r>
      <w:r w:rsidRPr="00615903">
        <w:rPr>
          <w:rFonts w:ascii="Century Gothic" w:eastAsia="Cambria" w:hAnsi="Century Gothic" w:cs="Arial"/>
          <w:color w:val="616160"/>
          <w:sz w:val="24"/>
          <w:szCs w:val="24"/>
        </w:rPr>
        <w:t>de la quebrada La Seca, en su margen izquierda, incrementa el riesgo de deterioro o colapso estructural ante un</w:t>
      </w:r>
      <w:r w:rsidRPr="00615903"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615903">
        <w:rPr>
          <w:rFonts w:ascii="Century Gothic" w:eastAsia="Cambria" w:hAnsi="Century Gothic" w:cs="Arial"/>
          <w:color w:val="616160"/>
          <w:sz w:val="24"/>
          <w:szCs w:val="24"/>
        </w:rPr>
        <w:t>proceso de socavación o de remoción en masa, debido a la acción erosiva q</w:t>
      </w:r>
      <w:r w:rsidRPr="00615903">
        <w:rPr>
          <w:rFonts w:ascii="Century Gothic" w:eastAsia="Cambria" w:hAnsi="Century Gothic" w:cs="Arial"/>
          <w:color w:val="616160"/>
          <w:sz w:val="24"/>
          <w:szCs w:val="24"/>
        </w:rPr>
        <w:t xml:space="preserve">ue ejerce la corriente sobre la </w:t>
      </w:r>
      <w:r w:rsidRPr="00615903">
        <w:rPr>
          <w:rFonts w:ascii="Century Gothic" w:eastAsia="Cambria" w:hAnsi="Century Gothic" w:cs="Arial"/>
          <w:color w:val="616160"/>
          <w:sz w:val="24"/>
          <w:szCs w:val="24"/>
        </w:rPr>
        <w:t>margen y a las altas pendientes que posee el terreno.</w:t>
      </w:r>
    </w:p>
    <w:p w:rsidR="00AF445E" w:rsidRPr="00AF445E" w:rsidRDefault="00AF445E" w:rsidP="00AF445E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AF445E" w:rsidRPr="00373D23" w:rsidRDefault="00AF445E" w:rsidP="00373D23">
      <w:pPr>
        <w:pStyle w:val="Prrafodelista"/>
        <w:numPr>
          <w:ilvl w:val="0"/>
          <w:numId w:val="18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 xml:space="preserve">Box </w:t>
      </w:r>
      <w:proofErr w:type="spellStart"/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>Culvert</w:t>
      </w:r>
      <w:proofErr w:type="spellEnd"/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 xml:space="preserve"> de la quebrada La Seca en las Carreras 50B y 52: la repetición de un </w:t>
      </w:r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 xml:space="preserve">flujo canalizado con alta carga </w:t>
      </w:r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>de sólidos podría generar nuevamente la colmatación de estas estructuras, o</w:t>
      </w:r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 xml:space="preserve">bstruyendo el paso del caudal y </w:t>
      </w:r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>provocando desbordamientos hacia las vías aledañas. La acumulación de b</w:t>
      </w:r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 xml:space="preserve">loques, escombros y lodo podría </w:t>
      </w:r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 xml:space="preserve">comprometer la integridad estructural del conducto, afectando su funcionalidad </w:t>
      </w:r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 xml:space="preserve">hidráulica y generando posibles </w:t>
      </w:r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>daños a las placas de cubierta o paredes laterales.</w:t>
      </w:r>
    </w:p>
    <w:p w:rsidR="00AF445E" w:rsidRPr="00AF445E" w:rsidRDefault="00AF445E" w:rsidP="00AF445E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AF445E" w:rsidRDefault="00AF445E" w:rsidP="00AF445E">
      <w:pPr>
        <w:pStyle w:val="Prrafodelista"/>
        <w:numPr>
          <w:ilvl w:val="0"/>
          <w:numId w:val="18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 xml:space="preserve">Infraestructura vial: el desbordamiento de lodo, agua y material rocoso sobre la </w:t>
      </w:r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 xml:space="preserve">calzada provocaría afectaciones </w:t>
      </w:r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 xml:space="preserve">a la capa de rodadura, desgaste de la superficie, pérdida de carpeta asfáltica </w:t>
      </w:r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 xml:space="preserve">o daño a los concretos rígidos. </w:t>
      </w:r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>También puede generar socavaciones localizadas, erosión de cunetas y obstrucción del sistema de drenaje vial,</w:t>
      </w:r>
      <w:r w:rsidR="00373D23"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>interrumpiendo la movilidad y dificultando el acceso de vehículos de emergencia.</w:t>
      </w:r>
    </w:p>
    <w:p w:rsidR="00373D23" w:rsidRPr="00373D23" w:rsidRDefault="00373D23" w:rsidP="00373D23">
      <w:pPr>
        <w:pStyle w:val="Prrafodelista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AF445E" w:rsidRDefault="00AF445E" w:rsidP="00AF445E">
      <w:pPr>
        <w:pStyle w:val="Prrafodelista"/>
        <w:numPr>
          <w:ilvl w:val="0"/>
          <w:numId w:val="18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 xml:space="preserve">Viviendas aledañas a las vías afectadas: las viviendas cercanas podrían experimentar inundaciones por </w:t>
      </w:r>
      <w:proofErr w:type="spellStart"/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>ingresode</w:t>
      </w:r>
      <w:proofErr w:type="spellEnd"/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 xml:space="preserve"> lodo al primer nivel y subniveles, afectación de fachadas, deterioro de acabados y pérdida de enseres. En</w:t>
      </w:r>
      <w:r w:rsidR="00373D23"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>casos críticos, podrían presentarse daños estructurales por empuje lateral del flujo, especialmente en</w:t>
      </w:r>
      <w:r w:rsidR="00373D23"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>edificaciones con deficiencias constructivas o ubicadas dentro de la zona de retiro.</w:t>
      </w:r>
    </w:p>
    <w:p w:rsidR="00373D23" w:rsidRPr="00373D23" w:rsidRDefault="00373D23" w:rsidP="00373D23">
      <w:pPr>
        <w:pStyle w:val="Prrafodelista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AF445E" w:rsidRPr="00373D23" w:rsidRDefault="00AF445E" w:rsidP="00AF445E">
      <w:pPr>
        <w:pStyle w:val="Prrafodelista"/>
        <w:numPr>
          <w:ilvl w:val="0"/>
          <w:numId w:val="18"/>
        </w:num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>Redes de servicios públicos: el material arrastrado por el flujo puede generar rotura de redes superficiales o</w:t>
      </w:r>
      <w:r w:rsidR="00373D23"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>subterráneas, exposición de tuberías y obstrucción de colectores. También existe riesgo de interrupción del</w:t>
      </w:r>
      <w:r w:rsidR="00373D23">
        <w:rPr>
          <w:rFonts w:ascii="Century Gothic" w:eastAsia="Cambria" w:hAnsi="Century Gothic" w:cs="Arial"/>
          <w:color w:val="616160"/>
          <w:sz w:val="24"/>
          <w:szCs w:val="24"/>
        </w:rPr>
        <w:t xml:space="preserve"> </w:t>
      </w:r>
      <w:r w:rsidRPr="00373D23">
        <w:rPr>
          <w:rFonts w:ascii="Century Gothic" w:eastAsia="Cambria" w:hAnsi="Century Gothic" w:cs="Arial"/>
          <w:color w:val="616160"/>
          <w:sz w:val="24"/>
          <w:szCs w:val="24"/>
        </w:rPr>
        <w:t>servicio eléctrico y de gas por afectación de acometidas o postes, incrementando el riesgo para la comunidad.</w:t>
      </w:r>
    </w:p>
    <w:p w:rsidR="00AF445E" w:rsidRDefault="00AF445E" w:rsidP="00372114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372114" w:rsidRDefault="00372114" w:rsidP="00372114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AF445E" w:rsidRDefault="00AF445E" w:rsidP="00AF445E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AF445E">
        <w:rPr>
          <w:rFonts w:ascii="Century Gothic" w:eastAsia="Cambria" w:hAnsi="Century Gothic" w:cs="Arial"/>
          <w:b/>
          <w:color w:val="616160"/>
          <w:sz w:val="24"/>
          <w:szCs w:val="24"/>
        </w:rPr>
        <w:t>NOTA:</w:t>
      </w:r>
      <w:r w:rsidRPr="00AF445E">
        <w:rPr>
          <w:rFonts w:ascii="Century Gothic" w:eastAsia="Cambria" w:hAnsi="Century Gothic" w:cs="Arial"/>
          <w:color w:val="616160"/>
          <w:sz w:val="24"/>
          <w:szCs w:val="24"/>
        </w:rPr>
        <w:t xml:space="preserve"> Es importante expresar que, de no llevar a cabo las recomendaciones del pr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esente informe u otras que sean </w:t>
      </w:r>
      <w:r w:rsidRPr="00AF445E">
        <w:rPr>
          <w:rFonts w:ascii="Century Gothic" w:eastAsia="Cambria" w:hAnsi="Century Gothic" w:cs="Arial"/>
          <w:color w:val="616160"/>
          <w:sz w:val="24"/>
          <w:szCs w:val="24"/>
        </w:rPr>
        <w:t>técnicamente soportadas por profesionales competentes, las condiciones de riesg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o pueden aumentar y comprometer </w:t>
      </w:r>
      <w:r w:rsidRPr="00AF445E">
        <w:rPr>
          <w:rFonts w:ascii="Century Gothic" w:eastAsia="Cambria" w:hAnsi="Century Gothic" w:cs="Arial"/>
          <w:color w:val="616160"/>
          <w:sz w:val="24"/>
          <w:szCs w:val="24"/>
        </w:rPr>
        <w:t>otros elementos no mencionados para las condiciones actuales. Se aclar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a que las recomendaciones están </w:t>
      </w:r>
      <w:r w:rsidRPr="00AF445E">
        <w:rPr>
          <w:rFonts w:ascii="Century Gothic" w:eastAsia="Cambria" w:hAnsi="Century Gothic" w:cs="Arial"/>
          <w:color w:val="616160"/>
          <w:sz w:val="24"/>
          <w:szCs w:val="24"/>
        </w:rPr>
        <w:t>fundamentadas en lo evidenciado durante la inspección, que por ser de carácter visual son limitadas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y esto no evita </w:t>
      </w:r>
      <w:r w:rsidRPr="00AF445E">
        <w:rPr>
          <w:rFonts w:ascii="Century Gothic" w:eastAsia="Cambria" w:hAnsi="Century Gothic" w:cs="Arial"/>
          <w:color w:val="616160"/>
          <w:sz w:val="24"/>
          <w:szCs w:val="24"/>
        </w:rPr>
        <w:t>que posteriormente se puedan presentar situaciones que se escapen del alcance de esta inspección.</w:t>
      </w:r>
    </w:p>
    <w:p w:rsidR="00AF445E" w:rsidRPr="00AF445E" w:rsidRDefault="00AF445E" w:rsidP="00AF445E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372114" w:rsidRDefault="00AF445E" w:rsidP="00AF445E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  <w:r w:rsidRPr="00AF445E">
        <w:rPr>
          <w:rFonts w:ascii="Century Gothic" w:eastAsia="Cambria" w:hAnsi="Century Gothic" w:cs="Arial"/>
          <w:color w:val="616160"/>
          <w:sz w:val="24"/>
          <w:szCs w:val="24"/>
        </w:rPr>
        <w:t xml:space="preserve">Para su conocimiento, el Artículo 2° del Capítulo 1 de la Ley 1523 de 2012: "De la 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responsabilidad. La gestión del </w:t>
      </w:r>
      <w:r w:rsidRPr="00AF445E">
        <w:rPr>
          <w:rFonts w:ascii="Century Gothic" w:eastAsia="Cambria" w:hAnsi="Century Gothic" w:cs="Arial"/>
          <w:color w:val="616160"/>
          <w:sz w:val="24"/>
          <w:szCs w:val="24"/>
        </w:rPr>
        <w:t>riesgo es responsabilidad de todas las autoridades y de los habitantes del territorio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colombiano</w:t>
      </w:r>
      <w:proofErr w:type="gramStart"/>
      <w:r>
        <w:rPr>
          <w:rFonts w:ascii="Century Gothic" w:eastAsia="Cambria" w:hAnsi="Century Gothic" w:cs="Arial"/>
          <w:color w:val="616160"/>
          <w:sz w:val="24"/>
          <w:szCs w:val="24"/>
        </w:rPr>
        <w:t>….</w:t>
      </w:r>
      <w:proofErr w:type="gramEnd"/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 Por su parte, los </w:t>
      </w:r>
      <w:r w:rsidRPr="00AF445E">
        <w:rPr>
          <w:rFonts w:ascii="Century Gothic" w:eastAsia="Cambria" w:hAnsi="Century Gothic" w:cs="Arial"/>
          <w:color w:val="616160"/>
          <w:sz w:val="24"/>
          <w:szCs w:val="24"/>
        </w:rPr>
        <w:t>habitantes del territorio nacional, corresponsables de la gestión del riesgo, actuar</w:t>
      </w:r>
      <w:r>
        <w:rPr>
          <w:rFonts w:ascii="Century Gothic" w:eastAsia="Cambria" w:hAnsi="Century Gothic" w:cs="Arial"/>
          <w:color w:val="616160"/>
          <w:sz w:val="24"/>
          <w:szCs w:val="24"/>
        </w:rPr>
        <w:t xml:space="preserve">án con precaución, solidaridad, </w:t>
      </w:r>
      <w:r w:rsidRPr="00AF445E">
        <w:rPr>
          <w:rFonts w:ascii="Century Gothic" w:eastAsia="Cambria" w:hAnsi="Century Gothic" w:cs="Arial"/>
          <w:color w:val="616160"/>
          <w:sz w:val="24"/>
          <w:szCs w:val="24"/>
        </w:rPr>
        <w:t>autoprotección, tanto en lo personal como en lo de sus bienes, y acatarán lo dispuesto por las autoridades."</w:t>
      </w:r>
    </w:p>
    <w:p w:rsidR="00372114" w:rsidRDefault="00372114" w:rsidP="00372114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color w:val="616160"/>
          <w:sz w:val="24"/>
          <w:szCs w:val="24"/>
        </w:rPr>
      </w:pP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eastAsia="Cambria" w:hAnsi="Century Gothic" w:cs="Arial"/>
          <w:b/>
          <w:color w:val="616160"/>
          <w:sz w:val="24"/>
          <w:szCs w:val="24"/>
        </w:rPr>
      </w:pPr>
    </w:p>
    <w:p w:rsidR="004B0D33" w:rsidRDefault="004B0D33" w:rsidP="004B0D33">
      <w:pPr>
        <w:autoSpaceDE w:val="0"/>
        <w:spacing w:after="0" w:line="240" w:lineRule="auto"/>
        <w:textAlignment w:val="auto"/>
        <w:rPr>
          <w:rFonts w:ascii="Century Gothic" w:eastAsia="Cambria" w:hAnsi="Century Gothic" w:cs="Arial"/>
          <w:b/>
          <w:bCs/>
          <w:color w:val="242C49"/>
          <w:sz w:val="24"/>
          <w:szCs w:val="24"/>
        </w:rPr>
      </w:pPr>
    </w:p>
    <w:p w:rsidR="004B0D33" w:rsidRPr="00B630AF" w:rsidRDefault="004B0D33" w:rsidP="004B0D33">
      <w:pPr>
        <w:autoSpaceDE w:val="0"/>
        <w:spacing w:after="0" w:line="240" w:lineRule="auto"/>
        <w:textAlignment w:val="auto"/>
        <w:rPr>
          <w:rFonts w:ascii="Century Gothic" w:hAnsi="Century Gothic"/>
          <w:b/>
          <w:sz w:val="28"/>
          <w:szCs w:val="28"/>
        </w:rPr>
      </w:pPr>
      <w:r w:rsidRPr="00B630AF">
        <w:rPr>
          <w:rFonts w:ascii="Century Gothic" w:hAnsi="Century Gothic"/>
          <w:b/>
          <w:sz w:val="28"/>
          <w:szCs w:val="28"/>
        </w:rPr>
        <w:t>ELEMENTOS EXPUESTOS:</w:t>
      </w:r>
    </w:p>
    <w:p w:rsidR="004B0D33" w:rsidRDefault="004B0D33" w:rsidP="004B0D33">
      <w:pPr>
        <w:autoSpaceDE w:val="0"/>
        <w:spacing w:after="0" w:line="240" w:lineRule="auto"/>
        <w:textAlignment w:val="auto"/>
        <w:rPr>
          <w:rFonts w:ascii="Century Gothic" w:hAnsi="Century Gothic"/>
          <w:b/>
          <w:sz w:val="28"/>
          <w:szCs w:val="28"/>
        </w:rPr>
      </w:pPr>
    </w:p>
    <w:p w:rsidR="004B0D33" w:rsidRPr="00B630AF" w:rsidRDefault="004B0D33" w:rsidP="004B0D33">
      <w:pPr>
        <w:autoSpaceDE w:val="0"/>
        <w:spacing w:after="0" w:line="240" w:lineRule="auto"/>
        <w:textAlignment w:val="auto"/>
        <w:rPr>
          <w:rFonts w:ascii="Century Gothic" w:hAnsi="Century Gothic"/>
          <w:b/>
          <w:sz w:val="28"/>
          <w:szCs w:val="28"/>
        </w:rPr>
      </w:pPr>
      <w:r w:rsidRPr="00B630AF">
        <w:rPr>
          <w:rFonts w:ascii="Century Gothic" w:hAnsi="Century Gothic"/>
          <w:b/>
          <w:sz w:val="28"/>
          <w:szCs w:val="28"/>
        </w:rPr>
        <w:t>1</w:t>
      </w:r>
    </w:p>
    <w:p w:rsidR="004B0D33" w:rsidRPr="00E8253B" w:rsidRDefault="004B0D33" w:rsidP="00E8253B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Dirección: </w:t>
      </w:r>
      <w:r w:rsidR="00E8253B">
        <w:rPr>
          <w:rFonts w:ascii="Century Gothic" w:hAnsi="Century Gothic"/>
        </w:rPr>
        <w:t>Carrera 28 F # 111 - 190</w:t>
      </w:r>
      <w:r w:rsidR="00E8253B" w:rsidRPr="00E8253B">
        <w:rPr>
          <w:rFonts w:ascii="Century Gothic" w:hAnsi="Century Gothic"/>
        </w:rPr>
        <w:t>Interior 179</w:t>
      </w: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901AE4">
        <w:rPr>
          <w:rFonts w:ascii="Century Gothic" w:hAnsi="Century Gothic"/>
          <w:b/>
        </w:rPr>
        <w:t>Punto de referencia:</w:t>
      </w: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901AE4">
        <w:rPr>
          <w:rFonts w:ascii="Century Gothic" w:hAnsi="Century Gothic"/>
          <w:b/>
        </w:rPr>
        <w:t xml:space="preserve">Latitud: </w:t>
      </w:r>
      <w:r w:rsidR="00E8253B" w:rsidRPr="00E8253B">
        <w:rPr>
          <w:rFonts w:ascii="Century Gothic" w:hAnsi="Century Gothic"/>
        </w:rPr>
        <w:t>6.30096</w:t>
      </w: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901AE4">
        <w:rPr>
          <w:rFonts w:ascii="Century Gothic" w:hAnsi="Century Gothic"/>
          <w:b/>
        </w:rPr>
        <w:t>Longitud: -</w:t>
      </w:r>
      <w:r w:rsidR="00E8253B" w:rsidRPr="00E8253B">
        <w:t xml:space="preserve"> </w:t>
      </w:r>
      <w:r w:rsidR="00E8253B" w:rsidRPr="00E8253B">
        <w:rPr>
          <w:rFonts w:ascii="Century Gothic" w:hAnsi="Century Gothic"/>
        </w:rPr>
        <w:t>75.53955</w:t>
      </w: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Tipo de elemento expuesto: </w:t>
      </w:r>
      <w:r w:rsidRPr="00901AE4">
        <w:rPr>
          <w:rFonts w:ascii="Century Gothic" w:hAnsi="Century Gothic"/>
        </w:rPr>
        <w:t>Edificación</w:t>
      </w:r>
    </w:p>
    <w:p w:rsidR="004B0D33" w:rsidRPr="00901AE4" w:rsidRDefault="00E8253B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Número de pisos: 1</w:t>
      </w: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901AE4">
        <w:rPr>
          <w:rFonts w:ascii="Century Gothic" w:hAnsi="Century Gothic"/>
          <w:b/>
        </w:rPr>
        <w:t>Número de sótanos: 0</w:t>
      </w: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Barrio: </w:t>
      </w:r>
      <w:r w:rsidRPr="00901AE4">
        <w:rPr>
          <w:rFonts w:ascii="Century Gothic" w:hAnsi="Century Gothic"/>
        </w:rPr>
        <w:t xml:space="preserve">Santo domingo </w:t>
      </w:r>
      <w:proofErr w:type="spellStart"/>
      <w:r w:rsidRPr="00901AE4">
        <w:rPr>
          <w:rFonts w:ascii="Century Gothic" w:hAnsi="Century Gothic"/>
        </w:rPr>
        <w:t>savio</w:t>
      </w:r>
      <w:proofErr w:type="spellEnd"/>
      <w:r w:rsidRPr="00901AE4">
        <w:rPr>
          <w:rFonts w:ascii="Century Gothic" w:hAnsi="Century Gothic"/>
        </w:rPr>
        <w:t xml:space="preserve"> no.2</w:t>
      </w:r>
    </w:p>
    <w:p w:rsidR="004B0D33" w:rsidRPr="00901AE4" w:rsidRDefault="004B0D33" w:rsidP="00E8253B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Clasificación de riesgo por POT: </w:t>
      </w:r>
      <w:r w:rsidR="00E8253B">
        <w:rPr>
          <w:rFonts w:ascii="Century Gothic" w:hAnsi="Century Gothic"/>
        </w:rPr>
        <w:t xml:space="preserve">Grado amenaza: zona con condiciones de riesgo por </w:t>
      </w:r>
      <w:r w:rsidR="00E8253B" w:rsidRPr="00E8253B">
        <w:rPr>
          <w:rFonts w:ascii="Century Gothic" w:hAnsi="Century Gothic"/>
        </w:rPr>
        <w:t>movimientos en masa</w:t>
      </w: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901AE4">
        <w:rPr>
          <w:rFonts w:ascii="Century Gothic" w:hAnsi="Century Gothic"/>
          <w:b/>
        </w:rPr>
        <w:t xml:space="preserve">Clasificación: </w:t>
      </w:r>
      <w:r w:rsidRPr="00901AE4">
        <w:rPr>
          <w:rFonts w:ascii="Century Gothic" w:hAnsi="Century Gothic"/>
        </w:rPr>
        <w:t>Residencia</w:t>
      </w:r>
      <w:r w:rsidRPr="00901AE4">
        <w:rPr>
          <w:rFonts w:ascii="Century Gothic" w:hAnsi="Century Gothic"/>
          <w:b/>
        </w:rPr>
        <w:t>l</w:t>
      </w: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901AE4">
        <w:rPr>
          <w:rFonts w:ascii="Century Gothic" w:hAnsi="Century Gothic"/>
          <w:b/>
        </w:rPr>
        <w:t xml:space="preserve">Material: </w:t>
      </w:r>
      <w:r w:rsidR="00E8253B" w:rsidRPr="00E8253B">
        <w:rPr>
          <w:rFonts w:ascii="Century Gothic" w:hAnsi="Century Gothic"/>
        </w:rPr>
        <w:t>Mampostería simple</w:t>
      </w: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901AE4">
        <w:rPr>
          <w:rFonts w:ascii="Century Gothic" w:hAnsi="Century Gothic"/>
          <w:b/>
        </w:rPr>
        <w:t xml:space="preserve">Comuna: </w:t>
      </w:r>
      <w:r w:rsidRPr="00901AE4">
        <w:rPr>
          <w:rFonts w:ascii="Century Gothic" w:hAnsi="Century Gothic"/>
        </w:rPr>
        <w:t>Comuna 1 popular</w:t>
      </w: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Zona de retiro: Faja retiro: </w:t>
      </w:r>
      <w:r w:rsidRPr="00901AE4">
        <w:rPr>
          <w:rFonts w:ascii="Century Gothic" w:hAnsi="Century Gothic"/>
        </w:rPr>
        <w:t>no se encuentra ubicado en la franja de retiro</w:t>
      </w: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Sistema estructural: </w:t>
      </w:r>
      <w:r w:rsidRPr="00901AE4">
        <w:rPr>
          <w:rFonts w:ascii="Century Gothic" w:hAnsi="Century Gothic"/>
        </w:rPr>
        <w:t>Muros de carga</w:t>
      </w: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Tipología de cubierta: </w:t>
      </w:r>
      <w:r w:rsidRPr="00901AE4">
        <w:rPr>
          <w:rFonts w:ascii="Century Gothic" w:hAnsi="Century Gothic"/>
        </w:rPr>
        <w:t>Lamina de zinc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  <w:sz w:val="28"/>
          <w:szCs w:val="28"/>
        </w:rPr>
      </w:pPr>
      <w:r w:rsidRPr="00901AE4">
        <w:rPr>
          <w:rFonts w:ascii="Century Gothic" w:hAnsi="Century Gothic"/>
          <w:b/>
          <w:sz w:val="28"/>
          <w:szCs w:val="28"/>
        </w:rPr>
        <w:t>Categorías de Amenaza y Riesgo según POT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901AE4">
        <w:rPr>
          <w:rFonts w:ascii="Century Gothic" w:hAnsi="Century Gothic"/>
          <w:b/>
        </w:rPr>
        <w:t xml:space="preserve">Amenaza </w:t>
      </w:r>
      <w:proofErr w:type="spellStart"/>
      <w:r w:rsidRPr="00901AE4">
        <w:rPr>
          <w:rFonts w:ascii="Century Gothic" w:hAnsi="Century Gothic"/>
          <w:b/>
        </w:rPr>
        <w:t>POT_Inundaciones</w:t>
      </w:r>
      <w:proofErr w:type="spellEnd"/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901AE4">
        <w:rPr>
          <w:rFonts w:ascii="Century Gothic" w:hAnsi="Century Gothic"/>
        </w:rPr>
        <w:t>Grado amenaza: no se encuentra clasificado como zona de amenaza de inundación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901AE4">
        <w:rPr>
          <w:rFonts w:ascii="Century Gothic" w:hAnsi="Century Gothic"/>
          <w:b/>
        </w:rPr>
        <w:t xml:space="preserve">Amenaza </w:t>
      </w:r>
      <w:proofErr w:type="spellStart"/>
      <w:r w:rsidRPr="00901AE4">
        <w:rPr>
          <w:rFonts w:ascii="Century Gothic" w:hAnsi="Century Gothic"/>
          <w:b/>
        </w:rPr>
        <w:t>POT_Movimientos</w:t>
      </w:r>
      <w:proofErr w:type="spellEnd"/>
      <w:r w:rsidRPr="00901AE4">
        <w:rPr>
          <w:rFonts w:ascii="Century Gothic" w:hAnsi="Century Gothic"/>
          <w:b/>
        </w:rPr>
        <w:t xml:space="preserve"> en masa</w:t>
      </w: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901AE4">
        <w:rPr>
          <w:rFonts w:ascii="Century Gothic" w:hAnsi="Century Gothic"/>
        </w:rPr>
        <w:lastRenderedPageBreak/>
        <w:t>Grado amenaza: alta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901AE4">
        <w:rPr>
          <w:rFonts w:ascii="Century Gothic" w:hAnsi="Century Gothic"/>
          <w:b/>
        </w:rPr>
        <w:t xml:space="preserve">Amenaza </w:t>
      </w:r>
      <w:proofErr w:type="spellStart"/>
      <w:r w:rsidRPr="00901AE4">
        <w:rPr>
          <w:rFonts w:ascii="Century Gothic" w:hAnsi="Century Gothic"/>
          <w:b/>
        </w:rPr>
        <w:t>POT_Avenidas</w:t>
      </w:r>
      <w:proofErr w:type="spellEnd"/>
      <w:r w:rsidRPr="00901AE4">
        <w:rPr>
          <w:rFonts w:ascii="Century Gothic" w:hAnsi="Century Gothic"/>
          <w:b/>
        </w:rPr>
        <w:t xml:space="preserve"> Torrenciales</w:t>
      </w: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901AE4">
        <w:rPr>
          <w:rFonts w:ascii="Century Gothic" w:hAnsi="Century Gothic"/>
        </w:rPr>
        <w:t>Grado amenaza: no se encuentra clasificado como zona de amenaza torrencial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901AE4">
        <w:rPr>
          <w:rFonts w:ascii="Century Gothic" w:hAnsi="Century Gothic"/>
          <w:b/>
        </w:rPr>
        <w:t>Zona de retiro</w:t>
      </w: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901AE4">
        <w:rPr>
          <w:rFonts w:ascii="Century Gothic" w:hAnsi="Century Gothic"/>
        </w:rPr>
        <w:t>Faja retiro: no se encuentra ubicado en la franja de retiro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901AE4">
        <w:rPr>
          <w:rFonts w:ascii="Century Gothic" w:hAnsi="Century Gothic"/>
          <w:b/>
        </w:rPr>
        <w:t>Riesgo POT</w:t>
      </w: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901AE4">
        <w:rPr>
          <w:rFonts w:ascii="Century Gothic" w:hAnsi="Century Gothic"/>
        </w:rPr>
        <w:t>Grado amenaza: zona con condiciones de riesgo por movimientos en masa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901AE4">
        <w:rPr>
          <w:rFonts w:ascii="Century Gothic" w:hAnsi="Century Gothic"/>
          <w:b/>
        </w:rPr>
        <w:t>INFORMACIÓN DE EVACUACIÓN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Pr="00901AE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901AE4">
        <w:rPr>
          <w:rFonts w:ascii="Century Gothic" w:hAnsi="Century Gothic"/>
          <w:b/>
        </w:rPr>
        <w:t>Tipo de evacuación:</w:t>
      </w:r>
      <w:r w:rsidRPr="00901AE4">
        <w:rPr>
          <w:rFonts w:ascii="Century Gothic" w:hAnsi="Century Gothic"/>
        </w:rPr>
        <w:t xml:space="preserve"> Temporal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E8253B" w:rsidRDefault="00E8253B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Observaciones:</w:t>
      </w:r>
    </w:p>
    <w:p w:rsidR="00E8253B" w:rsidRDefault="00E8253B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E8253B" w:rsidRPr="00E8253B" w:rsidRDefault="00E8253B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E8253B">
        <w:rPr>
          <w:rFonts w:ascii="Century Gothic" w:hAnsi="Century Gothic"/>
        </w:rPr>
        <w:t>Edificación 1, colapso parcial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Pr="00BD294A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  <w:sz w:val="28"/>
          <w:szCs w:val="28"/>
        </w:rPr>
      </w:pPr>
      <w:r w:rsidRPr="00BD294A">
        <w:rPr>
          <w:rFonts w:ascii="Century Gothic" w:hAnsi="Century Gothic"/>
          <w:b/>
          <w:sz w:val="28"/>
          <w:szCs w:val="28"/>
        </w:rPr>
        <w:t>2</w:t>
      </w:r>
    </w:p>
    <w:p w:rsidR="004B0D33" w:rsidRPr="007728F1" w:rsidRDefault="004B0D33" w:rsidP="009D5592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2A7694">
        <w:rPr>
          <w:rFonts w:ascii="Century Gothic" w:hAnsi="Century Gothic"/>
          <w:b/>
        </w:rPr>
        <w:t>Dir</w:t>
      </w:r>
      <w:r>
        <w:rPr>
          <w:rFonts w:ascii="Century Gothic" w:hAnsi="Century Gothic"/>
          <w:b/>
        </w:rPr>
        <w:t xml:space="preserve">ección: </w:t>
      </w:r>
      <w:r w:rsidR="009D5592">
        <w:rPr>
          <w:rFonts w:ascii="Century Gothic" w:hAnsi="Century Gothic"/>
        </w:rPr>
        <w:t xml:space="preserve">Carrera 28 F # 111 – 190 </w:t>
      </w:r>
      <w:r w:rsidR="009D5592" w:rsidRPr="009D5592">
        <w:rPr>
          <w:rFonts w:ascii="Century Gothic" w:hAnsi="Century Gothic"/>
        </w:rPr>
        <w:t>Interior 179 de referencia</w:t>
      </w:r>
    </w:p>
    <w:p w:rsidR="004B0D33" w:rsidRPr="002A7694" w:rsidRDefault="004B0D33" w:rsidP="009D5592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2A7694">
        <w:rPr>
          <w:rFonts w:ascii="Century Gothic" w:hAnsi="Century Gothic"/>
          <w:b/>
        </w:rPr>
        <w:t>Punto de referencia:</w:t>
      </w:r>
      <w:r w:rsidR="009D5592">
        <w:rPr>
          <w:rFonts w:ascii="Century Gothic" w:hAnsi="Century Gothic"/>
          <w:b/>
        </w:rPr>
        <w:t xml:space="preserve"> </w:t>
      </w:r>
      <w:r w:rsidR="009D5592" w:rsidRPr="009D5592">
        <w:rPr>
          <w:rFonts w:ascii="Century Gothic" w:hAnsi="Century Gothic"/>
        </w:rPr>
        <w:t xml:space="preserve">Se ingresa por </w:t>
      </w:r>
      <w:r w:rsidR="009D5592" w:rsidRPr="009D5592">
        <w:rPr>
          <w:rFonts w:ascii="Century Gothic" w:hAnsi="Century Gothic"/>
        </w:rPr>
        <w:t>la C</w:t>
      </w:r>
      <w:r w:rsidR="009D5592" w:rsidRPr="009D5592">
        <w:rPr>
          <w:rFonts w:ascii="Century Gothic" w:hAnsi="Century Gothic"/>
        </w:rPr>
        <w:t xml:space="preserve">ancha Polideportiva Santa María </w:t>
      </w:r>
      <w:r w:rsidR="009D5592" w:rsidRPr="009D5592">
        <w:rPr>
          <w:rFonts w:ascii="Century Gothic" w:hAnsi="Century Gothic"/>
        </w:rPr>
        <w:t>La Torre (cancha azul)</w:t>
      </w:r>
    </w:p>
    <w:p w:rsidR="004B0D33" w:rsidRPr="007728F1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2A7694">
        <w:rPr>
          <w:rFonts w:ascii="Century Gothic" w:hAnsi="Century Gothic"/>
          <w:b/>
        </w:rPr>
        <w:t xml:space="preserve">Latitud: </w:t>
      </w:r>
      <w:r w:rsidR="009D5592" w:rsidRPr="009D5592">
        <w:rPr>
          <w:rFonts w:ascii="Century Gothic" w:hAnsi="Century Gothic"/>
        </w:rPr>
        <w:t>6.30105</w:t>
      </w:r>
    </w:p>
    <w:p w:rsidR="004B0D33" w:rsidRPr="002A769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2A7694">
        <w:rPr>
          <w:rFonts w:ascii="Century Gothic" w:hAnsi="Century Gothic"/>
          <w:b/>
        </w:rPr>
        <w:t>Longitud</w:t>
      </w:r>
      <w:r w:rsidRPr="007728F1">
        <w:rPr>
          <w:rFonts w:ascii="Century Gothic" w:hAnsi="Century Gothic"/>
        </w:rPr>
        <w:t xml:space="preserve">: </w:t>
      </w:r>
      <w:r w:rsidR="009D5592" w:rsidRPr="009D5592">
        <w:rPr>
          <w:rFonts w:ascii="Century Gothic" w:hAnsi="Century Gothic"/>
        </w:rPr>
        <w:t>-75.53932</w:t>
      </w:r>
    </w:p>
    <w:p w:rsidR="004B0D33" w:rsidRPr="002A769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Tipo de elemento expuesto: </w:t>
      </w:r>
      <w:r w:rsidRPr="007728F1">
        <w:rPr>
          <w:rFonts w:ascii="Century Gothic" w:hAnsi="Century Gothic"/>
        </w:rPr>
        <w:t>Edificación</w:t>
      </w:r>
    </w:p>
    <w:p w:rsidR="004B0D33" w:rsidRPr="002A769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2A7694">
        <w:rPr>
          <w:rFonts w:ascii="Century Gothic" w:hAnsi="Century Gothic"/>
          <w:b/>
        </w:rPr>
        <w:t>Número de pisos: 1</w:t>
      </w:r>
    </w:p>
    <w:p w:rsidR="004B0D33" w:rsidRPr="002A769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2A7694">
        <w:rPr>
          <w:rFonts w:ascii="Century Gothic" w:hAnsi="Century Gothic"/>
          <w:b/>
        </w:rPr>
        <w:t>Número de sótanos: 0</w:t>
      </w:r>
    </w:p>
    <w:p w:rsidR="004B0D33" w:rsidRPr="002A769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2A7694">
        <w:rPr>
          <w:rFonts w:ascii="Century Gothic" w:hAnsi="Century Gothic"/>
          <w:b/>
        </w:rPr>
        <w:t xml:space="preserve">Barrio: </w:t>
      </w:r>
      <w:r w:rsidR="009D5592">
        <w:rPr>
          <w:rFonts w:ascii="Century Gothic" w:hAnsi="Century Gothic"/>
        </w:rPr>
        <w:t xml:space="preserve">Santo domingo </w:t>
      </w:r>
      <w:proofErr w:type="spellStart"/>
      <w:r w:rsidR="009D5592">
        <w:rPr>
          <w:rFonts w:ascii="Century Gothic" w:hAnsi="Century Gothic"/>
        </w:rPr>
        <w:t>savio</w:t>
      </w:r>
      <w:proofErr w:type="spellEnd"/>
      <w:r w:rsidR="009D5592">
        <w:rPr>
          <w:rFonts w:ascii="Century Gothic" w:hAnsi="Century Gothic"/>
        </w:rPr>
        <w:t xml:space="preserve"> no.2</w:t>
      </w:r>
    </w:p>
    <w:p w:rsidR="009D5592" w:rsidRPr="009D5592" w:rsidRDefault="004B0D33" w:rsidP="009D5592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Clasificación de riesgo por POT: </w:t>
      </w:r>
      <w:r w:rsidR="009D5592">
        <w:rPr>
          <w:rFonts w:ascii="Century Gothic" w:hAnsi="Century Gothic"/>
        </w:rPr>
        <w:t xml:space="preserve">Grado amenaza: zona con condiciones de riesgo por </w:t>
      </w:r>
      <w:r w:rsidR="009D5592" w:rsidRPr="009D5592">
        <w:rPr>
          <w:rFonts w:ascii="Century Gothic" w:hAnsi="Century Gothic"/>
        </w:rPr>
        <w:t>movimientos en masa</w:t>
      </w:r>
      <w:r w:rsidR="009D5592" w:rsidRPr="009D5592">
        <w:rPr>
          <w:rFonts w:ascii="Century Gothic" w:hAnsi="Century Gothic"/>
          <w:b/>
        </w:rPr>
        <w:t xml:space="preserve"> </w:t>
      </w:r>
    </w:p>
    <w:p w:rsidR="004B0D33" w:rsidRPr="002A7694" w:rsidRDefault="004B0D33" w:rsidP="009D5592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2A7694">
        <w:rPr>
          <w:rFonts w:ascii="Century Gothic" w:hAnsi="Century Gothic"/>
          <w:b/>
        </w:rPr>
        <w:t xml:space="preserve">Clasificación: </w:t>
      </w:r>
      <w:r w:rsidRPr="007728F1">
        <w:rPr>
          <w:rFonts w:ascii="Century Gothic" w:hAnsi="Century Gothic"/>
        </w:rPr>
        <w:t>Residencial</w:t>
      </w:r>
    </w:p>
    <w:p w:rsidR="004B0D33" w:rsidRPr="002A769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2A7694">
        <w:rPr>
          <w:rFonts w:ascii="Century Gothic" w:hAnsi="Century Gothic"/>
          <w:b/>
        </w:rPr>
        <w:t xml:space="preserve">Material: </w:t>
      </w:r>
      <w:r w:rsidR="009D5592" w:rsidRPr="009D5592">
        <w:rPr>
          <w:rFonts w:ascii="Century Gothic" w:hAnsi="Century Gothic"/>
        </w:rPr>
        <w:t>Mampostería simple</w:t>
      </w:r>
    </w:p>
    <w:p w:rsidR="004B0D33" w:rsidRPr="002A769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2A7694">
        <w:rPr>
          <w:rFonts w:ascii="Century Gothic" w:hAnsi="Century Gothic"/>
          <w:b/>
        </w:rPr>
        <w:t xml:space="preserve">Comuna: </w:t>
      </w:r>
      <w:r w:rsidRPr="006D15A1">
        <w:rPr>
          <w:rFonts w:ascii="Century Gothic" w:hAnsi="Century Gothic"/>
        </w:rPr>
        <w:t>Comuna 1 popular</w:t>
      </w:r>
    </w:p>
    <w:p w:rsidR="004B0D33" w:rsidRPr="002A769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Zona de retiro: Faja retiro: </w:t>
      </w:r>
      <w:r w:rsidR="009D5592" w:rsidRPr="009D5592">
        <w:rPr>
          <w:rFonts w:ascii="Century Gothic" w:hAnsi="Century Gothic"/>
        </w:rPr>
        <w:t>Faja retiro: 30</w:t>
      </w:r>
    </w:p>
    <w:p w:rsidR="004B0D33" w:rsidRPr="002A769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Sistema estructural: </w:t>
      </w:r>
      <w:r w:rsidRPr="006D15A1">
        <w:rPr>
          <w:rFonts w:ascii="Century Gothic" w:hAnsi="Century Gothic"/>
        </w:rPr>
        <w:t>Muros de carga</w:t>
      </w:r>
    </w:p>
    <w:p w:rsidR="004B0D33" w:rsidRPr="006D15A1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2A7694">
        <w:rPr>
          <w:rFonts w:ascii="Century Gothic" w:hAnsi="Century Gothic"/>
          <w:b/>
        </w:rPr>
        <w:t xml:space="preserve">Tipología de cubierta: </w:t>
      </w:r>
      <w:r w:rsidR="009D5592">
        <w:rPr>
          <w:rFonts w:ascii="Century Gothic" w:hAnsi="Century Gothic"/>
        </w:rPr>
        <w:t>Otro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  <w:sz w:val="28"/>
          <w:szCs w:val="28"/>
        </w:rPr>
      </w:pPr>
      <w:r w:rsidRPr="002A7694">
        <w:rPr>
          <w:rFonts w:ascii="Century Gothic" w:hAnsi="Century Gothic"/>
          <w:b/>
          <w:sz w:val="28"/>
          <w:szCs w:val="28"/>
        </w:rPr>
        <w:t>Categorías de Amenaza y Riesgo según POT</w:t>
      </w:r>
    </w:p>
    <w:p w:rsidR="004B0D33" w:rsidRPr="002A769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  <w:sz w:val="28"/>
          <w:szCs w:val="28"/>
        </w:rPr>
      </w:pPr>
    </w:p>
    <w:p w:rsidR="004B0D33" w:rsidRPr="002A769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2A7694">
        <w:rPr>
          <w:rFonts w:ascii="Century Gothic" w:hAnsi="Century Gothic"/>
          <w:b/>
        </w:rPr>
        <w:t xml:space="preserve">Amenaza </w:t>
      </w:r>
      <w:proofErr w:type="spellStart"/>
      <w:r w:rsidRPr="002A7694">
        <w:rPr>
          <w:rFonts w:ascii="Century Gothic" w:hAnsi="Century Gothic"/>
          <w:b/>
        </w:rPr>
        <w:t>POT_Inundaciones</w:t>
      </w:r>
      <w:proofErr w:type="spellEnd"/>
    </w:p>
    <w:p w:rsidR="004B0D33" w:rsidRPr="002A769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2A7694">
        <w:rPr>
          <w:rFonts w:ascii="Century Gothic" w:hAnsi="Century Gothic"/>
        </w:rPr>
        <w:t>Grado amenaza: no se encuentra clas</w:t>
      </w:r>
      <w:r>
        <w:rPr>
          <w:rFonts w:ascii="Century Gothic" w:hAnsi="Century Gothic"/>
        </w:rPr>
        <w:t xml:space="preserve">ificado como zona de amenaza de </w:t>
      </w:r>
      <w:r w:rsidRPr="002A7694">
        <w:rPr>
          <w:rFonts w:ascii="Century Gothic" w:hAnsi="Century Gothic"/>
        </w:rPr>
        <w:t>inundación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Pr="002A769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2A7694">
        <w:rPr>
          <w:rFonts w:ascii="Century Gothic" w:hAnsi="Century Gothic"/>
          <w:b/>
        </w:rPr>
        <w:t xml:space="preserve">Amenaza </w:t>
      </w:r>
      <w:proofErr w:type="spellStart"/>
      <w:r w:rsidRPr="002A7694">
        <w:rPr>
          <w:rFonts w:ascii="Century Gothic" w:hAnsi="Century Gothic"/>
          <w:b/>
        </w:rPr>
        <w:t>POT_Movimientos</w:t>
      </w:r>
      <w:proofErr w:type="spellEnd"/>
      <w:r w:rsidRPr="002A7694">
        <w:rPr>
          <w:rFonts w:ascii="Century Gothic" w:hAnsi="Century Gothic"/>
          <w:b/>
        </w:rPr>
        <w:t xml:space="preserve"> en masa</w:t>
      </w:r>
    </w:p>
    <w:p w:rsidR="004B0D33" w:rsidRPr="002A769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2A7694">
        <w:rPr>
          <w:rFonts w:ascii="Century Gothic" w:hAnsi="Century Gothic"/>
        </w:rPr>
        <w:t>Grado amenaza: alta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Pr="002A7694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2A7694">
        <w:rPr>
          <w:rFonts w:ascii="Century Gothic" w:hAnsi="Century Gothic"/>
          <w:b/>
        </w:rPr>
        <w:t xml:space="preserve">Amenaza </w:t>
      </w:r>
      <w:proofErr w:type="spellStart"/>
      <w:r w:rsidRPr="002A7694">
        <w:rPr>
          <w:rFonts w:ascii="Century Gothic" w:hAnsi="Century Gothic"/>
          <w:b/>
        </w:rPr>
        <w:t>POT_Avenidas</w:t>
      </w:r>
      <w:proofErr w:type="spellEnd"/>
      <w:r w:rsidRPr="002A7694">
        <w:rPr>
          <w:rFonts w:ascii="Century Gothic" w:hAnsi="Century Gothic"/>
          <w:b/>
        </w:rPr>
        <w:t xml:space="preserve"> Torrenciales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6D15A1">
        <w:rPr>
          <w:rFonts w:ascii="Century Gothic" w:hAnsi="Century Gothic"/>
        </w:rPr>
        <w:lastRenderedPageBreak/>
        <w:t>Grado amenaza: no se encuentra clasificado como zona de amenaza torrencial</w:t>
      </w:r>
    </w:p>
    <w:p w:rsidR="00B95041" w:rsidRDefault="00B95041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</w:p>
    <w:p w:rsidR="00B95041" w:rsidRPr="00901AE4" w:rsidRDefault="00B95041" w:rsidP="00B95041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901AE4">
        <w:rPr>
          <w:rFonts w:ascii="Century Gothic" w:hAnsi="Century Gothic"/>
          <w:b/>
        </w:rPr>
        <w:t>Zona de retiro</w:t>
      </w:r>
    </w:p>
    <w:p w:rsidR="00B95041" w:rsidRPr="00901AE4" w:rsidRDefault="00B95041" w:rsidP="00B95041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901AE4">
        <w:rPr>
          <w:rFonts w:ascii="Century Gothic" w:hAnsi="Century Gothic"/>
        </w:rPr>
        <w:t xml:space="preserve">Faja retiro: </w:t>
      </w:r>
      <w:r>
        <w:rPr>
          <w:rFonts w:ascii="Century Gothic" w:hAnsi="Century Gothic"/>
        </w:rPr>
        <w:t>30</w:t>
      </w:r>
    </w:p>
    <w:p w:rsidR="00B95041" w:rsidRDefault="00B95041" w:rsidP="00B95041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B95041" w:rsidRPr="00901AE4" w:rsidRDefault="00B95041" w:rsidP="00B95041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901AE4">
        <w:rPr>
          <w:rFonts w:ascii="Century Gothic" w:hAnsi="Century Gothic"/>
          <w:b/>
        </w:rPr>
        <w:t>Riesgo POT</w:t>
      </w:r>
    </w:p>
    <w:p w:rsidR="00B95041" w:rsidRDefault="00B95041" w:rsidP="00B95041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901AE4">
        <w:rPr>
          <w:rFonts w:ascii="Century Gothic" w:hAnsi="Century Gothic"/>
        </w:rPr>
        <w:t>Grado amenaza: zona con condiciones de riesgo por movimientos en masa</w:t>
      </w:r>
    </w:p>
    <w:p w:rsidR="00B95041" w:rsidRDefault="00B95041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</w:p>
    <w:p w:rsidR="00B95041" w:rsidRPr="006D15A1" w:rsidRDefault="00B95041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B95041" w:rsidRDefault="00B95041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Pr="006D15A1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6D15A1">
        <w:rPr>
          <w:rFonts w:ascii="Century Gothic" w:hAnsi="Century Gothic"/>
          <w:b/>
        </w:rPr>
        <w:t>INFORMACIÓN DE EVACUACIÓN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Pr="006D15A1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6D15A1">
        <w:rPr>
          <w:rFonts w:ascii="Century Gothic" w:hAnsi="Century Gothic"/>
          <w:b/>
        </w:rPr>
        <w:t xml:space="preserve">Tipo de evacuación: </w:t>
      </w:r>
      <w:r w:rsidRPr="006D15A1">
        <w:rPr>
          <w:rFonts w:ascii="Century Gothic" w:hAnsi="Century Gothic"/>
        </w:rPr>
        <w:t>Definitiva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  <w:sz w:val="28"/>
          <w:szCs w:val="28"/>
        </w:rPr>
      </w:pPr>
    </w:p>
    <w:p w:rsidR="004B0D33" w:rsidRPr="006D15A1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  <w:sz w:val="28"/>
          <w:szCs w:val="28"/>
        </w:rPr>
      </w:pPr>
      <w:r w:rsidRPr="006D15A1">
        <w:rPr>
          <w:rFonts w:ascii="Century Gothic" w:hAnsi="Century Gothic"/>
          <w:b/>
          <w:sz w:val="28"/>
          <w:szCs w:val="28"/>
        </w:rPr>
        <w:t>Observaciones: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Default="00B95041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B95041">
        <w:rPr>
          <w:rFonts w:ascii="Century Gothic" w:hAnsi="Century Gothic"/>
        </w:rPr>
        <w:t xml:space="preserve">Edificación 3 - </w:t>
      </w:r>
      <w:proofErr w:type="spellStart"/>
      <w:r w:rsidRPr="00B95041">
        <w:rPr>
          <w:rFonts w:ascii="Century Gothic" w:hAnsi="Century Gothic"/>
        </w:rPr>
        <w:t>Cel</w:t>
      </w:r>
      <w:proofErr w:type="spellEnd"/>
      <w:r w:rsidRPr="00B95041">
        <w:rPr>
          <w:rFonts w:ascii="Century Gothic" w:hAnsi="Century Gothic"/>
        </w:rPr>
        <w:t xml:space="preserve">: 3044267462 - Anderson Castillo - </w:t>
      </w:r>
      <w:proofErr w:type="spellStart"/>
      <w:r w:rsidRPr="00B95041">
        <w:rPr>
          <w:rFonts w:ascii="Century Gothic" w:hAnsi="Century Gothic"/>
        </w:rPr>
        <w:t>Maholis</w:t>
      </w:r>
      <w:proofErr w:type="spellEnd"/>
      <w:r w:rsidRPr="00B95041">
        <w:rPr>
          <w:rFonts w:ascii="Century Gothic" w:hAnsi="Century Gothic"/>
        </w:rPr>
        <w:t xml:space="preserve"> Sofía </w:t>
      </w:r>
      <w:proofErr w:type="spellStart"/>
      <w:r w:rsidRPr="00B95041">
        <w:rPr>
          <w:rFonts w:ascii="Century Gothic" w:hAnsi="Century Gothic"/>
        </w:rPr>
        <w:t>Osten</w:t>
      </w:r>
      <w:proofErr w:type="spellEnd"/>
      <w:r w:rsidRPr="00B95041">
        <w:rPr>
          <w:rFonts w:ascii="Century Gothic" w:hAnsi="Century Gothic"/>
        </w:rPr>
        <w:t xml:space="preserve"> Miranda</w:t>
      </w:r>
    </w:p>
    <w:p w:rsidR="004B0D33" w:rsidRPr="00821D00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  <w:sz w:val="28"/>
          <w:szCs w:val="28"/>
        </w:rPr>
      </w:pPr>
    </w:p>
    <w:p w:rsidR="004B0D33" w:rsidRPr="00821D00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  <w:sz w:val="28"/>
          <w:szCs w:val="28"/>
        </w:rPr>
      </w:pPr>
      <w:r w:rsidRPr="00821D00">
        <w:rPr>
          <w:rFonts w:ascii="Century Gothic" w:hAnsi="Century Gothic"/>
          <w:b/>
          <w:sz w:val="28"/>
          <w:szCs w:val="28"/>
        </w:rPr>
        <w:t>3</w:t>
      </w:r>
    </w:p>
    <w:p w:rsidR="004B0D33" w:rsidRPr="002C5EA6" w:rsidRDefault="004B0D33" w:rsidP="002C5EA6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821D00">
        <w:rPr>
          <w:rFonts w:ascii="Century Gothic" w:hAnsi="Century Gothic"/>
          <w:b/>
        </w:rPr>
        <w:t xml:space="preserve">Dirección: </w:t>
      </w:r>
      <w:r w:rsidR="002C5EA6" w:rsidRPr="002C5EA6">
        <w:rPr>
          <w:rFonts w:ascii="Century Gothic" w:hAnsi="Century Gothic"/>
        </w:rPr>
        <w:t>Carre</w:t>
      </w:r>
      <w:r w:rsidR="002C5EA6">
        <w:rPr>
          <w:rFonts w:ascii="Century Gothic" w:hAnsi="Century Gothic"/>
        </w:rPr>
        <w:t xml:space="preserve">ra 28 F # 111 – 190 </w:t>
      </w:r>
      <w:r w:rsidR="002C5EA6" w:rsidRPr="002C5EA6">
        <w:rPr>
          <w:rFonts w:ascii="Century Gothic" w:hAnsi="Century Gothic"/>
        </w:rPr>
        <w:t>Interior 179 de referencia</w:t>
      </w:r>
    </w:p>
    <w:p w:rsidR="004B0D33" w:rsidRPr="00821D00" w:rsidRDefault="004B0D33" w:rsidP="002C5EA6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821D00">
        <w:rPr>
          <w:rFonts w:ascii="Century Gothic" w:hAnsi="Century Gothic"/>
          <w:b/>
        </w:rPr>
        <w:t>Punto de referencia:</w:t>
      </w:r>
      <w:r w:rsidR="002C5EA6">
        <w:rPr>
          <w:rFonts w:ascii="Century Gothic" w:hAnsi="Century Gothic"/>
          <w:b/>
        </w:rPr>
        <w:t xml:space="preserve"> </w:t>
      </w:r>
      <w:r w:rsidR="002C5EA6" w:rsidRPr="002C5EA6">
        <w:rPr>
          <w:rFonts w:ascii="Century Gothic" w:hAnsi="Century Gothic"/>
        </w:rPr>
        <w:t xml:space="preserve">Se ingresa por </w:t>
      </w:r>
      <w:r w:rsidR="002C5EA6" w:rsidRPr="002C5EA6">
        <w:rPr>
          <w:rFonts w:ascii="Century Gothic" w:hAnsi="Century Gothic"/>
        </w:rPr>
        <w:t>la C</w:t>
      </w:r>
      <w:r w:rsidR="002C5EA6" w:rsidRPr="002C5EA6">
        <w:rPr>
          <w:rFonts w:ascii="Century Gothic" w:hAnsi="Century Gothic"/>
        </w:rPr>
        <w:t xml:space="preserve">ancha Polideportiva Santa </w:t>
      </w:r>
      <w:proofErr w:type="spellStart"/>
      <w:r w:rsidR="002C5EA6" w:rsidRPr="002C5EA6">
        <w:rPr>
          <w:rFonts w:ascii="Century Gothic" w:hAnsi="Century Gothic"/>
        </w:rPr>
        <w:t>María</w:t>
      </w:r>
      <w:r w:rsidR="002C5EA6" w:rsidRPr="002C5EA6">
        <w:rPr>
          <w:rFonts w:ascii="Century Gothic" w:hAnsi="Century Gothic"/>
        </w:rPr>
        <w:t>La</w:t>
      </w:r>
      <w:proofErr w:type="spellEnd"/>
      <w:r w:rsidR="002C5EA6" w:rsidRPr="002C5EA6">
        <w:rPr>
          <w:rFonts w:ascii="Century Gothic" w:hAnsi="Century Gothic"/>
        </w:rPr>
        <w:t xml:space="preserve"> Torre (cancha azul)</w:t>
      </w:r>
    </w:p>
    <w:p w:rsidR="004B0D33" w:rsidRPr="00821D00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821D00">
        <w:rPr>
          <w:rFonts w:ascii="Century Gothic" w:hAnsi="Century Gothic"/>
          <w:b/>
        </w:rPr>
        <w:t xml:space="preserve">Latitud: </w:t>
      </w:r>
      <w:r w:rsidR="002C5EA6" w:rsidRPr="002C5EA6">
        <w:rPr>
          <w:rFonts w:ascii="Century Gothic" w:hAnsi="Century Gothic"/>
        </w:rPr>
        <w:t>6.30097</w:t>
      </w:r>
    </w:p>
    <w:p w:rsidR="004B0D33" w:rsidRPr="00821D00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821D00">
        <w:rPr>
          <w:rFonts w:ascii="Century Gothic" w:hAnsi="Century Gothic"/>
          <w:b/>
        </w:rPr>
        <w:t xml:space="preserve">Longitud: </w:t>
      </w:r>
      <w:r w:rsidR="002C5EA6" w:rsidRPr="002C5EA6">
        <w:rPr>
          <w:rFonts w:ascii="Century Gothic" w:hAnsi="Century Gothic"/>
        </w:rPr>
        <w:t>-75.5394</w:t>
      </w:r>
    </w:p>
    <w:p w:rsidR="004B0D33" w:rsidRPr="00821D00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Tipo de elemento expuesto: </w:t>
      </w:r>
      <w:r w:rsidRPr="0086383E">
        <w:rPr>
          <w:rFonts w:ascii="Century Gothic" w:hAnsi="Century Gothic"/>
        </w:rPr>
        <w:t>Edificación</w:t>
      </w:r>
    </w:p>
    <w:p w:rsidR="004B0D33" w:rsidRPr="00821D00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821D00">
        <w:rPr>
          <w:rFonts w:ascii="Century Gothic" w:hAnsi="Century Gothic"/>
          <w:b/>
        </w:rPr>
        <w:t>Número de pisos: 1</w:t>
      </w:r>
    </w:p>
    <w:p w:rsidR="004B0D33" w:rsidRPr="00821D00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821D00">
        <w:rPr>
          <w:rFonts w:ascii="Century Gothic" w:hAnsi="Century Gothic"/>
          <w:b/>
        </w:rPr>
        <w:t>Número de sótanos: 0</w:t>
      </w:r>
    </w:p>
    <w:p w:rsidR="004B0D33" w:rsidRPr="0086383E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Barrio: </w:t>
      </w:r>
      <w:r w:rsidR="002C5EA6">
        <w:rPr>
          <w:rFonts w:ascii="Century Gothic" w:hAnsi="Century Gothic"/>
        </w:rPr>
        <w:t xml:space="preserve">Santo domingo </w:t>
      </w:r>
      <w:proofErr w:type="spellStart"/>
      <w:r w:rsidR="002C5EA6">
        <w:rPr>
          <w:rFonts w:ascii="Century Gothic" w:hAnsi="Century Gothic"/>
        </w:rPr>
        <w:t>savio</w:t>
      </w:r>
      <w:proofErr w:type="spellEnd"/>
      <w:r w:rsidR="002C5EA6">
        <w:rPr>
          <w:rFonts w:ascii="Century Gothic" w:hAnsi="Century Gothic"/>
        </w:rPr>
        <w:t xml:space="preserve"> no.2</w:t>
      </w:r>
    </w:p>
    <w:p w:rsidR="004B0D33" w:rsidRPr="0086383E" w:rsidRDefault="004B0D33" w:rsidP="002C5EA6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Clasificación de riesgo por </w:t>
      </w:r>
      <w:r w:rsidRPr="00821D00">
        <w:rPr>
          <w:rFonts w:ascii="Century Gothic" w:hAnsi="Century Gothic"/>
          <w:b/>
        </w:rPr>
        <w:t xml:space="preserve">POT: </w:t>
      </w:r>
      <w:r w:rsidR="002C5EA6">
        <w:rPr>
          <w:rFonts w:ascii="Century Gothic" w:hAnsi="Century Gothic"/>
        </w:rPr>
        <w:t xml:space="preserve">Grado amenaza: zona con condiciones de riesgo por </w:t>
      </w:r>
      <w:r w:rsidR="002C5EA6" w:rsidRPr="002C5EA6">
        <w:rPr>
          <w:rFonts w:ascii="Century Gothic" w:hAnsi="Century Gothic"/>
        </w:rPr>
        <w:t>movimientos en masa</w:t>
      </w:r>
    </w:p>
    <w:p w:rsidR="004B0D33" w:rsidRPr="0086383E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821D00">
        <w:rPr>
          <w:rFonts w:ascii="Century Gothic" w:hAnsi="Century Gothic"/>
          <w:b/>
        </w:rPr>
        <w:t xml:space="preserve">Clasificación: </w:t>
      </w:r>
      <w:r w:rsidRPr="0086383E">
        <w:rPr>
          <w:rFonts w:ascii="Century Gothic" w:hAnsi="Century Gothic"/>
        </w:rPr>
        <w:t>Residencial</w:t>
      </w:r>
    </w:p>
    <w:p w:rsidR="004B0D33" w:rsidRPr="0086383E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821D00">
        <w:rPr>
          <w:rFonts w:ascii="Century Gothic" w:hAnsi="Century Gothic"/>
          <w:b/>
        </w:rPr>
        <w:t xml:space="preserve">Material: </w:t>
      </w:r>
      <w:r w:rsidR="002C5EA6" w:rsidRPr="002C5EA6">
        <w:rPr>
          <w:rFonts w:ascii="Century Gothic" w:hAnsi="Century Gothic"/>
        </w:rPr>
        <w:t>Mampostería simple</w:t>
      </w:r>
    </w:p>
    <w:p w:rsidR="004B0D33" w:rsidRPr="00821D00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821D00">
        <w:rPr>
          <w:rFonts w:ascii="Century Gothic" w:hAnsi="Century Gothic"/>
          <w:b/>
        </w:rPr>
        <w:t xml:space="preserve">Comuna: </w:t>
      </w:r>
      <w:r w:rsidRPr="0086383E">
        <w:rPr>
          <w:rFonts w:ascii="Century Gothic" w:hAnsi="Century Gothic"/>
        </w:rPr>
        <w:t>Comuna 1 popular</w:t>
      </w:r>
    </w:p>
    <w:p w:rsidR="004B0D33" w:rsidRPr="0086383E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Zona de retiro: Faja retiro: </w:t>
      </w:r>
      <w:r w:rsidR="002C5EA6" w:rsidRPr="002C5EA6">
        <w:rPr>
          <w:rFonts w:ascii="Century Gothic" w:hAnsi="Century Gothic"/>
        </w:rPr>
        <w:t>Faja retiro: 30</w:t>
      </w:r>
    </w:p>
    <w:p w:rsidR="004B0D33" w:rsidRPr="00821D00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Sistema estructural: </w:t>
      </w:r>
      <w:r w:rsidRPr="0086383E">
        <w:rPr>
          <w:rFonts w:ascii="Century Gothic" w:hAnsi="Century Gothic"/>
        </w:rPr>
        <w:t>Muros de carga</w:t>
      </w:r>
    </w:p>
    <w:p w:rsidR="004B0D33" w:rsidRPr="0086383E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Tipología de cubierta: </w:t>
      </w:r>
      <w:r w:rsidRPr="0086383E">
        <w:rPr>
          <w:rFonts w:ascii="Century Gothic" w:hAnsi="Century Gothic"/>
        </w:rPr>
        <w:t>Lamina de zinc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  <w:sz w:val="28"/>
          <w:szCs w:val="28"/>
        </w:rPr>
      </w:pPr>
    </w:p>
    <w:p w:rsidR="004B0D33" w:rsidRPr="0086383E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  <w:sz w:val="28"/>
          <w:szCs w:val="28"/>
        </w:rPr>
      </w:pPr>
      <w:r w:rsidRPr="0086383E">
        <w:rPr>
          <w:rFonts w:ascii="Century Gothic" w:hAnsi="Century Gothic"/>
          <w:b/>
          <w:sz w:val="28"/>
          <w:szCs w:val="28"/>
        </w:rPr>
        <w:t>Categorías de Amenaza y Riesgo según POT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Pr="00821D00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821D00">
        <w:rPr>
          <w:rFonts w:ascii="Century Gothic" w:hAnsi="Century Gothic"/>
          <w:b/>
        </w:rPr>
        <w:t xml:space="preserve">Amenaza </w:t>
      </w:r>
      <w:proofErr w:type="spellStart"/>
      <w:r w:rsidRPr="00821D00">
        <w:rPr>
          <w:rFonts w:ascii="Century Gothic" w:hAnsi="Century Gothic"/>
          <w:b/>
        </w:rPr>
        <w:t>POT_Inundaciones</w:t>
      </w:r>
      <w:proofErr w:type="spellEnd"/>
    </w:p>
    <w:p w:rsidR="004B0D33" w:rsidRPr="0086383E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86383E">
        <w:rPr>
          <w:rFonts w:ascii="Century Gothic" w:hAnsi="Century Gothic"/>
        </w:rPr>
        <w:t>Grado amenaza: no se encuentra clasificado como zona de amenaza de</w:t>
      </w:r>
      <w:r>
        <w:rPr>
          <w:rFonts w:ascii="Century Gothic" w:hAnsi="Century Gothic"/>
        </w:rPr>
        <w:t xml:space="preserve"> </w:t>
      </w:r>
      <w:r w:rsidRPr="0086383E">
        <w:rPr>
          <w:rFonts w:ascii="Century Gothic" w:hAnsi="Century Gothic"/>
        </w:rPr>
        <w:t>inundación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Pr="00821D00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821D00">
        <w:rPr>
          <w:rFonts w:ascii="Century Gothic" w:hAnsi="Century Gothic"/>
          <w:b/>
        </w:rPr>
        <w:t xml:space="preserve">Amenaza </w:t>
      </w:r>
      <w:proofErr w:type="spellStart"/>
      <w:r w:rsidRPr="00821D00">
        <w:rPr>
          <w:rFonts w:ascii="Century Gothic" w:hAnsi="Century Gothic"/>
          <w:b/>
        </w:rPr>
        <w:t>POT_Movimientos</w:t>
      </w:r>
      <w:proofErr w:type="spellEnd"/>
      <w:r w:rsidRPr="00821D00">
        <w:rPr>
          <w:rFonts w:ascii="Century Gothic" w:hAnsi="Century Gothic"/>
          <w:b/>
        </w:rPr>
        <w:t xml:space="preserve"> en masa</w:t>
      </w:r>
    </w:p>
    <w:p w:rsidR="004B0D33" w:rsidRPr="0086383E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86383E">
        <w:rPr>
          <w:rFonts w:ascii="Century Gothic" w:hAnsi="Century Gothic"/>
        </w:rPr>
        <w:t>Grado amenaza: alta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Pr="00821D00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821D00">
        <w:rPr>
          <w:rFonts w:ascii="Century Gothic" w:hAnsi="Century Gothic"/>
          <w:b/>
        </w:rPr>
        <w:t xml:space="preserve">Amenaza </w:t>
      </w:r>
      <w:proofErr w:type="spellStart"/>
      <w:r w:rsidRPr="00821D00">
        <w:rPr>
          <w:rFonts w:ascii="Century Gothic" w:hAnsi="Century Gothic"/>
          <w:b/>
        </w:rPr>
        <w:t>POT_Avenidas</w:t>
      </w:r>
      <w:proofErr w:type="spellEnd"/>
      <w:r w:rsidRPr="00821D00">
        <w:rPr>
          <w:rFonts w:ascii="Century Gothic" w:hAnsi="Century Gothic"/>
          <w:b/>
        </w:rPr>
        <w:t xml:space="preserve"> Torrenciales</w:t>
      </w:r>
    </w:p>
    <w:p w:rsidR="004B0D33" w:rsidRPr="00121C29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121C29">
        <w:rPr>
          <w:rFonts w:ascii="Century Gothic" w:hAnsi="Century Gothic"/>
        </w:rPr>
        <w:t>Grado amenaza: no se encuentra clasificado como zona de amenaza torrencial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Pr="00821D00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821D00">
        <w:rPr>
          <w:rFonts w:ascii="Century Gothic" w:hAnsi="Century Gothic"/>
          <w:b/>
        </w:rPr>
        <w:t>Zona de retiro</w:t>
      </w:r>
    </w:p>
    <w:p w:rsidR="004B0D33" w:rsidRPr="00121C29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121C29">
        <w:rPr>
          <w:rFonts w:ascii="Century Gothic" w:hAnsi="Century Gothic"/>
        </w:rPr>
        <w:t xml:space="preserve">Faja retiro: </w:t>
      </w:r>
      <w:r w:rsidR="004B6767">
        <w:rPr>
          <w:rFonts w:ascii="Century Gothic" w:hAnsi="Century Gothic"/>
        </w:rPr>
        <w:t>30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Pr="00821D00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821D00">
        <w:rPr>
          <w:rFonts w:ascii="Century Gothic" w:hAnsi="Century Gothic"/>
          <w:b/>
        </w:rPr>
        <w:t>Riesgo POT</w:t>
      </w:r>
    </w:p>
    <w:p w:rsidR="004B0D33" w:rsidRDefault="004B6767" w:rsidP="004B6767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4B6767">
        <w:rPr>
          <w:rFonts w:ascii="Century Gothic" w:hAnsi="Century Gothic"/>
        </w:rPr>
        <w:t>Grado a</w:t>
      </w:r>
      <w:r>
        <w:rPr>
          <w:rFonts w:ascii="Century Gothic" w:hAnsi="Century Gothic"/>
        </w:rPr>
        <w:t xml:space="preserve">menaza: zona con condiciones de </w:t>
      </w:r>
      <w:r w:rsidRPr="004B6767">
        <w:rPr>
          <w:rFonts w:ascii="Century Gothic" w:hAnsi="Century Gothic"/>
        </w:rPr>
        <w:t>riesgo por movimientos en masa</w:t>
      </w:r>
    </w:p>
    <w:p w:rsidR="004B6767" w:rsidRPr="00121C29" w:rsidRDefault="004B6767" w:rsidP="004B6767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</w:p>
    <w:p w:rsidR="004B0D33" w:rsidRPr="00821D00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821D00">
        <w:rPr>
          <w:rFonts w:ascii="Century Gothic" w:hAnsi="Century Gothic"/>
          <w:b/>
        </w:rPr>
        <w:t>INFORMACIÓN DE EVACUACIÓN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Pr="00121C29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821D00">
        <w:rPr>
          <w:rFonts w:ascii="Century Gothic" w:hAnsi="Century Gothic"/>
          <w:b/>
        </w:rPr>
        <w:t xml:space="preserve">Tipo de evacuación: </w:t>
      </w:r>
      <w:r w:rsidRPr="00121C29">
        <w:rPr>
          <w:rFonts w:ascii="Century Gothic" w:hAnsi="Century Gothic"/>
        </w:rPr>
        <w:t>Definitiva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Pr="0086383E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  <w:sz w:val="28"/>
          <w:szCs w:val="28"/>
        </w:rPr>
      </w:pPr>
      <w:r w:rsidRPr="0086383E">
        <w:rPr>
          <w:rFonts w:ascii="Century Gothic" w:hAnsi="Century Gothic"/>
          <w:b/>
          <w:sz w:val="28"/>
          <w:szCs w:val="28"/>
        </w:rPr>
        <w:t>Observaciones: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Default="004B6767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4B6767">
        <w:rPr>
          <w:rFonts w:ascii="Century Gothic" w:hAnsi="Century Gothic"/>
        </w:rPr>
        <w:t xml:space="preserve">Edificación 2 - José Alexander </w:t>
      </w:r>
      <w:proofErr w:type="spellStart"/>
      <w:r w:rsidRPr="004B6767">
        <w:rPr>
          <w:rFonts w:ascii="Century Gothic" w:hAnsi="Century Gothic"/>
        </w:rPr>
        <w:t>Calpavire</w:t>
      </w:r>
      <w:proofErr w:type="spellEnd"/>
      <w:r w:rsidRPr="004B6767">
        <w:rPr>
          <w:rFonts w:ascii="Century Gothic" w:hAnsi="Century Gothic"/>
        </w:rPr>
        <w:t xml:space="preserve"> Ríos. </w:t>
      </w:r>
      <w:proofErr w:type="spellStart"/>
      <w:r w:rsidRPr="004B6767">
        <w:rPr>
          <w:rFonts w:ascii="Century Gothic" w:hAnsi="Century Gothic"/>
        </w:rPr>
        <w:t>Cel</w:t>
      </w:r>
      <w:proofErr w:type="spellEnd"/>
      <w:r w:rsidRPr="004B6767">
        <w:rPr>
          <w:rFonts w:ascii="Century Gothic" w:hAnsi="Century Gothic"/>
        </w:rPr>
        <w:t>: 3169169526</w:t>
      </w:r>
    </w:p>
    <w:p w:rsidR="004B0D33" w:rsidRDefault="004B0D33" w:rsidP="004B0D33">
      <w:pPr>
        <w:autoSpaceDE w:val="0"/>
        <w:spacing w:after="0" w:line="240" w:lineRule="auto"/>
        <w:textAlignment w:val="auto"/>
        <w:rPr>
          <w:rFonts w:ascii="Century Gothic" w:hAnsi="Century Gothic"/>
          <w:b/>
        </w:rPr>
      </w:pPr>
    </w:p>
    <w:p w:rsidR="004B0D33" w:rsidRDefault="004B0D33" w:rsidP="004B0D33">
      <w:pPr>
        <w:autoSpaceDE w:val="0"/>
        <w:spacing w:after="0" w:line="240" w:lineRule="auto"/>
        <w:jc w:val="center"/>
        <w:textAlignment w:val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RECOMENDACIONES</w:t>
      </w:r>
    </w:p>
    <w:p w:rsidR="004B0D33" w:rsidRPr="0077611F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  <w:sz w:val="28"/>
          <w:szCs w:val="28"/>
        </w:rPr>
      </w:pPr>
    </w:p>
    <w:p w:rsidR="004B0D33" w:rsidRPr="0077611F" w:rsidRDefault="004B0D33" w:rsidP="004B0D33">
      <w:pPr>
        <w:autoSpaceDE w:val="0"/>
        <w:spacing w:after="0" w:line="240" w:lineRule="auto"/>
        <w:textAlignment w:val="auto"/>
        <w:rPr>
          <w:rFonts w:ascii="Century Gothic" w:hAnsi="Century Gothic"/>
          <w:b/>
          <w:sz w:val="28"/>
          <w:szCs w:val="28"/>
        </w:rPr>
      </w:pPr>
      <w:r w:rsidRPr="0077611F">
        <w:rPr>
          <w:rFonts w:ascii="Century Gothic" w:hAnsi="Century Gothic"/>
          <w:b/>
          <w:sz w:val="28"/>
          <w:szCs w:val="28"/>
        </w:rPr>
        <w:t>Titular del Inmueble</w:t>
      </w:r>
    </w:p>
    <w:p w:rsidR="004B0D33" w:rsidRDefault="004B0D33" w:rsidP="004B0D33">
      <w:pPr>
        <w:autoSpaceDE w:val="0"/>
        <w:spacing w:after="0" w:line="240" w:lineRule="auto"/>
        <w:jc w:val="center"/>
        <w:textAlignment w:val="auto"/>
        <w:rPr>
          <w:rFonts w:ascii="Century Gothic" w:hAnsi="Century Gothic"/>
          <w:b/>
        </w:rPr>
      </w:pPr>
    </w:p>
    <w:p w:rsidR="00492CD3" w:rsidRPr="00492CD3" w:rsidRDefault="00492CD3" w:rsidP="00492CD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  <w:r w:rsidRPr="00492CD3">
        <w:rPr>
          <w:rFonts w:ascii="Century Gothic" w:hAnsi="Century Gothic"/>
          <w:b/>
        </w:rPr>
        <w:t>Descripción:</w:t>
      </w:r>
    </w:p>
    <w:p w:rsidR="00492CD3" w:rsidRDefault="00492CD3" w:rsidP="00492CD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492CD3">
        <w:rPr>
          <w:rFonts w:ascii="Century Gothic" w:hAnsi="Century Gothic"/>
        </w:rPr>
        <w:t>Con el fin de salvaguardar la integridad física de quienes habitan la zona, se reco</w:t>
      </w:r>
      <w:r>
        <w:rPr>
          <w:rFonts w:ascii="Century Gothic" w:hAnsi="Century Gothic"/>
        </w:rPr>
        <w:t xml:space="preserve">mienda realizar la evacuación y </w:t>
      </w:r>
      <w:r w:rsidRPr="00492CD3">
        <w:rPr>
          <w:rFonts w:ascii="Century Gothic" w:hAnsi="Century Gothic"/>
        </w:rPr>
        <w:t>demolición de las siguientes viviendas, debido a su ubicación dentro de la zona d</w:t>
      </w:r>
      <w:r>
        <w:rPr>
          <w:rFonts w:ascii="Century Gothic" w:hAnsi="Century Gothic"/>
        </w:rPr>
        <w:t xml:space="preserve">e retiro de la quebrada La Seca </w:t>
      </w:r>
      <w:r w:rsidRPr="00492CD3">
        <w:rPr>
          <w:rFonts w:ascii="Century Gothic" w:hAnsi="Century Gothic"/>
        </w:rPr>
        <w:t>(excepto la Edificación 1), a la inestabilidad generalizada que presenta el terreno y a la</w:t>
      </w:r>
      <w:r>
        <w:rPr>
          <w:rFonts w:ascii="Century Gothic" w:hAnsi="Century Gothic"/>
        </w:rPr>
        <w:t xml:space="preserve"> vulnerabilidad física alta que </w:t>
      </w:r>
      <w:r w:rsidRPr="00492CD3">
        <w:rPr>
          <w:rFonts w:ascii="Century Gothic" w:hAnsi="Century Gothic"/>
        </w:rPr>
        <w:t>poseen las viviendas por las deficiencias en los sistemas estructurales y los materiales de las estructuras:</w:t>
      </w:r>
    </w:p>
    <w:p w:rsidR="00492CD3" w:rsidRPr="00492CD3" w:rsidRDefault="00492CD3" w:rsidP="00492CD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</w:p>
    <w:p w:rsidR="00492CD3" w:rsidRDefault="00492CD3" w:rsidP="00492CD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492CD3">
        <w:rPr>
          <w:rFonts w:ascii="Century Gothic" w:hAnsi="Century Gothic"/>
        </w:rPr>
        <w:t xml:space="preserve">1. Carrera 28F #111-190 </w:t>
      </w:r>
      <w:proofErr w:type="spellStart"/>
      <w:r w:rsidRPr="00492CD3">
        <w:rPr>
          <w:rFonts w:ascii="Century Gothic" w:hAnsi="Century Gothic"/>
        </w:rPr>
        <w:t>int</w:t>
      </w:r>
      <w:proofErr w:type="spellEnd"/>
      <w:r w:rsidRPr="00492CD3">
        <w:rPr>
          <w:rFonts w:ascii="Century Gothic" w:hAnsi="Century Gothic"/>
        </w:rPr>
        <w:t xml:space="preserve"> 179 - sin información, no se encontraba en la </w:t>
      </w:r>
      <w:r>
        <w:rPr>
          <w:rFonts w:ascii="Century Gothic" w:hAnsi="Century Gothic"/>
        </w:rPr>
        <w:t xml:space="preserve">vivienda. Evacuación temporal y </w:t>
      </w:r>
      <w:r w:rsidRPr="00492CD3">
        <w:rPr>
          <w:rFonts w:ascii="Century Gothic" w:hAnsi="Century Gothic"/>
        </w:rPr>
        <w:t xml:space="preserve">desmonte controlado de la vivienda. En caso de construir una nueva vivienda en </w:t>
      </w:r>
      <w:r>
        <w:rPr>
          <w:rFonts w:ascii="Century Gothic" w:hAnsi="Century Gothic"/>
        </w:rPr>
        <w:t xml:space="preserve">este lugar, tenga en cuenta que </w:t>
      </w:r>
      <w:r w:rsidRPr="00492CD3">
        <w:rPr>
          <w:rFonts w:ascii="Century Gothic" w:hAnsi="Century Gothic"/>
        </w:rPr>
        <w:t>deberá solicitar la licencia de construcción respectiva, según el decreto 1469</w:t>
      </w:r>
      <w:r>
        <w:rPr>
          <w:rFonts w:ascii="Century Gothic" w:hAnsi="Century Gothic"/>
        </w:rPr>
        <w:t xml:space="preserve"> de 2010 (Licencias y Sanciones </w:t>
      </w:r>
      <w:r w:rsidRPr="00492CD3">
        <w:rPr>
          <w:rFonts w:ascii="Century Gothic" w:hAnsi="Century Gothic"/>
        </w:rPr>
        <w:t>Urbanísticas) y cumplir con las exigencias técnicas expuestas en la Norma Sis</w:t>
      </w:r>
      <w:r>
        <w:rPr>
          <w:rFonts w:ascii="Century Gothic" w:hAnsi="Century Gothic"/>
        </w:rPr>
        <w:t>mo Resistente del 2010, NSR-10.</w:t>
      </w:r>
    </w:p>
    <w:p w:rsidR="00492CD3" w:rsidRDefault="00492CD3" w:rsidP="00492CD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</w:p>
    <w:p w:rsidR="00492CD3" w:rsidRDefault="00492CD3" w:rsidP="00492CD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492CD3">
        <w:rPr>
          <w:rFonts w:ascii="Century Gothic" w:hAnsi="Century Gothic"/>
        </w:rPr>
        <w:t xml:space="preserve">2. Carrera 28F #111-190 </w:t>
      </w:r>
      <w:proofErr w:type="spellStart"/>
      <w:r w:rsidRPr="00492CD3">
        <w:rPr>
          <w:rFonts w:ascii="Century Gothic" w:hAnsi="Century Gothic"/>
        </w:rPr>
        <w:t>int</w:t>
      </w:r>
      <w:proofErr w:type="spellEnd"/>
      <w:r w:rsidRPr="00492CD3">
        <w:rPr>
          <w:rFonts w:ascii="Century Gothic" w:hAnsi="Century Gothic"/>
        </w:rPr>
        <w:t xml:space="preserve"> 179 de referencia. Es una vivienda más abajo - José</w:t>
      </w:r>
      <w:r>
        <w:rPr>
          <w:rFonts w:ascii="Century Gothic" w:hAnsi="Century Gothic"/>
        </w:rPr>
        <w:t xml:space="preserve"> Alexander </w:t>
      </w:r>
      <w:proofErr w:type="spellStart"/>
      <w:r>
        <w:rPr>
          <w:rFonts w:ascii="Century Gothic" w:hAnsi="Century Gothic"/>
        </w:rPr>
        <w:t>Calpavire</w:t>
      </w:r>
      <w:proofErr w:type="spellEnd"/>
      <w:r>
        <w:rPr>
          <w:rFonts w:ascii="Century Gothic" w:hAnsi="Century Gothic"/>
        </w:rPr>
        <w:t xml:space="preserve"> Ríos. </w:t>
      </w:r>
      <w:proofErr w:type="spellStart"/>
      <w:r>
        <w:rPr>
          <w:rFonts w:ascii="Century Gothic" w:hAnsi="Century Gothic"/>
        </w:rPr>
        <w:t>Cel</w:t>
      </w:r>
      <w:proofErr w:type="spellEnd"/>
      <w:r>
        <w:rPr>
          <w:rFonts w:ascii="Century Gothic" w:hAnsi="Century Gothic"/>
        </w:rPr>
        <w:t xml:space="preserve">: </w:t>
      </w:r>
      <w:r w:rsidRPr="00492CD3">
        <w:rPr>
          <w:rFonts w:ascii="Century Gothic" w:hAnsi="Century Gothic"/>
        </w:rPr>
        <w:t>3169169526. Evacuación definitiva y desmonte controlado de la vivienda.</w:t>
      </w:r>
    </w:p>
    <w:p w:rsidR="00492CD3" w:rsidRPr="00492CD3" w:rsidRDefault="00492CD3" w:rsidP="00492CD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</w:p>
    <w:p w:rsidR="004B0D33" w:rsidRPr="00492CD3" w:rsidRDefault="00492CD3" w:rsidP="00492CD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492CD3">
        <w:rPr>
          <w:rFonts w:ascii="Century Gothic" w:hAnsi="Century Gothic"/>
        </w:rPr>
        <w:t xml:space="preserve">3. Carrera 28F #111-190 </w:t>
      </w:r>
      <w:proofErr w:type="spellStart"/>
      <w:r w:rsidRPr="00492CD3">
        <w:rPr>
          <w:rFonts w:ascii="Century Gothic" w:hAnsi="Century Gothic"/>
        </w:rPr>
        <w:t>int</w:t>
      </w:r>
      <w:proofErr w:type="spellEnd"/>
      <w:r w:rsidRPr="00492CD3">
        <w:rPr>
          <w:rFonts w:ascii="Century Gothic" w:hAnsi="Century Gothic"/>
        </w:rPr>
        <w:t xml:space="preserve"> 179 de referencia. Es la última vivienda bajando por las</w:t>
      </w:r>
      <w:r>
        <w:rPr>
          <w:rFonts w:ascii="Century Gothic" w:hAnsi="Century Gothic"/>
        </w:rPr>
        <w:t xml:space="preserve"> escalas - camino, aledaña a la </w:t>
      </w:r>
      <w:r w:rsidRPr="00492CD3">
        <w:rPr>
          <w:rFonts w:ascii="Century Gothic" w:hAnsi="Century Gothic"/>
        </w:rPr>
        <w:t xml:space="preserve">quebrada La Seca. Anderson Castillo y </w:t>
      </w:r>
      <w:proofErr w:type="spellStart"/>
      <w:r w:rsidRPr="00492CD3">
        <w:rPr>
          <w:rFonts w:ascii="Century Gothic" w:hAnsi="Century Gothic"/>
        </w:rPr>
        <w:t>Maholis</w:t>
      </w:r>
      <w:proofErr w:type="spellEnd"/>
      <w:r w:rsidRPr="00492CD3">
        <w:rPr>
          <w:rFonts w:ascii="Century Gothic" w:hAnsi="Century Gothic"/>
        </w:rPr>
        <w:t xml:space="preserve"> Sofía </w:t>
      </w:r>
      <w:proofErr w:type="spellStart"/>
      <w:r w:rsidRPr="00492CD3">
        <w:rPr>
          <w:rFonts w:ascii="Century Gothic" w:hAnsi="Century Gothic"/>
        </w:rPr>
        <w:t>Osten</w:t>
      </w:r>
      <w:proofErr w:type="spellEnd"/>
      <w:r w:rsidRPr="00492CD3">
        <w:rPr>
          <w:rFonts w:ascii="Century Gothic" w:hAnsi="Century Gothic"/>
        </w:rPr>
        <w:t xml:space="preserve"> Miranda- </w:t>
      </w:r>
      <w:proofErr w:type="spellStart"/>
      <w:r w:rsidRPr="00492CD3">
        <w:rPr>
          <w:rFonts w:ascii="Century Gothic" w:hAnsi="Century Gothic"/>
        </w:rPr>
        <w:t>Cel</w:t>
      </w:r>
      <w:proofErr w:type="spellEnd"/>
      <w:r w:rsidRPr="00492CD3">
        <w:rPr>
          <w:rFonts w:ascii="Century Gothic" w:hAnsi="Century Gothic"/>
        </w:rPr>
        <w:t>: 30</w:t>
      </w:r>
      <w:r>
        <w:rPr>
          <w:rFonts w:ascii="Century Gothic" w:hAnsi="Century Gothic"/>
        </w:rPr>
        <w:t xml:space="preserve">44267462. Evacuación definitiva </w:t>
      </w:r>
      <w:r w:rsidRPr="00492CD3">
        <w:rPr>
          <w:rFonts w:ascii="Century Gothic" w:hAnsi="Century Gothic"/>
        </w:rPr>
        <w:t>y desmonte controlado de la vivienda</w:t>
      </w:r>
      <w:r w:rsidR="004B0D33" w:rsidRPr="00492CD3">
        <w:rPr>
          <w:rFonts w:ascii="Century Gothic" w:hAnsi="Century Gothic"/>
        </w:rPr>
        <w:t>.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1E22B4" w:rsidRDefault="001E22B4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1E22B4" w:rsidRPr="001E22B4" w:rsidRDefault="001E22B4" w:rsidP="001E22B4">
      <w:pPr>
        <w:autoSpaceDE w:val="0"/>
        <w:spacing w:after="0" w:line="240" w:lineRule="auto"/>
        <w:jc w:val="center"/>
        <w:textAlignment w:val="auto"/>
        <w:rPr>
          <w:rFonts w:ascii="Century Gothic" w:hAnsi="Century Gothic"/>
          <w:b/>
        </w:rPr>
      </w:pPr>
      <w:r w:rsidRPr="001E22B4">
        <w:rPr>
          <w:rFonts w:ascii="Century Gothic" w:hAnsi="Century Gothic"/>
          <w:b/>
        </w:rPr>
        <w:t>Secretaria del Medio Ambiente</w:t>
      </w:r>
    </w:p>
    <w:p w:rsidR="001E22B4" w:rsidRPr="001E22B4" w:rsidRDefault="001E22B4" w:rsidP="001E22B4">
      <w:pPr>
        <w:autoSpaceDE w:val="0"/>
        <w:spacing w:after="0" w:line="240" w:lineRule="auto"/>
        <w:jc w:val="center"/>
        <w:textAlignment w:val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(</w:t>
      </w:r>
      <w:proofErr w:type="spellStart"/>
      <w:r w:rsidRPr="001E22B4">
        <w:rPr>
          <w:rFonts w:ascii="Century Gothic" w:hAnsi="Century Gothic"/>
          <w:b/>
        </w:rPr>
        <w:t>Cll</w:t>
      </w:r>
      <w:proofErr w:type="spellEnd"/>
      <w:r w:rsidRPr="001E22B4">
        <w:rPr>
          <w:rFonts w:ascii="Century Gothic" w:hAnsi="Century Gothic"/>
          <w:b/>
        </w:rPr>
        <w:t>. 44 n 52 – 165</w:t>
      </w:r>
      <w:r>
        <w:rPr>
          <w:rFonts w:ascii="Century Gothic" w:hAnsi="Century Gothic"/>
          <w:b/>
        </w:rPr>
        <w:t>)</w:t>
      </w:r>
    </w:p>
    <w:p w:rsidR="001E22B4" w:rsidRDefault="001E22B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1E22B4" w:rsidRDefault="001E22B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1E22B4">
        <w:rPr>
          <w:rFonts w:ascii="Century Gothic" w:hAnsi="Century Gothic"/>
        </w:rPr>
        <w:lastRenderedPageBreak/>
        <w:t>El recorrido fue acompañado por el funcionario Julián Pardo Moreno, de la SMA. Se recomienda continuar con el</w:t>
      </w:r>
      <w:r w:rsidRPr="001E22B4">
        <w:rPr>
          <w:rFonts w:ascii="Century Gothic" w:hAnsi="Century Gothic"/>
        </w:rPr>
        <w:t xml:space="preserve"> </w:t>
      </w:r>
      <w:r w:rsidRPr="001E22B4">
        <w:rPr>
          <w:rFonts w:ascii="Century Gothic" w:hAnsi="Century Gothic"/>
        </w:rPr>
        <w:t>seguimiento del estado de la quebrada La Seca y de las intervenciones que se vienen adelantando.</w:t>
      </w:r>
    </w:p>
    <w:p w:rsidR="00944574" w:rsidRPr="001E22B4" w:rsidRDefault="0094457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</w:p>
    <w:p w:rsidR="001E22B4" w:rsidRPr="001E22B4" w:rsidRDefault="001E22B4" w:rsidP="001E22B4">
      <w:pPr>
        <w:autoSpaceDE w:val="0"/>
        <w:spacing w:after="0" w:line="240" w:lineRule="auto"/>
        <w:jc w:val="center"/>
        <w:textAlignment w:val="auto"/>
        <w:rPr>
          <w:rFonts w:ascii="Century Gothic" w:hAnsi="Century Gothic"/>
          <w:b/>
        </w:rPr>
      </w:pPr>
      <w:r w:rsidRPr="001E22B4">
        <w:rPr>
          <w:rFonts w:ascii="Century Gothic" w:hAnsi="Century Gothic"/>
          <w:b/>
        </w:rPr>
        <w:t>Inspección 1 V. Guadalupe</w:t>
      </w:r>
      <w:r>
        <w:rPr>
          <w:rFonts w:ascii="Century Gothic" w:hAnsi="Century Gothic"/>
          <w:b/>
        </w:rPr>
        <w:t xml:space="preserve"> (</w:t>
      </w:r>
      <w:r w:rsidRPr="001E22B4">
        <w:rPr>
          <w:rFonts w:ascii="Century Gothic" w:hAnsi="Century Gothic"/>
          <w:b/>
        </w:rPr>
        <w:t>Cra.32 #101-283</w:t>
      </w:r>
      <w:r>
        <w:rPr>
          <w:rFonts w:ascii="Century Gothic" w:hAnsi="Century Gothic"/>
          <w:b/>
        </w:rPr>
        <w:t>)</w:t>
      </w:r>
    </w:p>
    <w:p w:rsidR="001E22B4" w:rsidRDefault="001E22B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1E22B4" w:rsidRPr="001E22B4" w:rsidRDefault="001E22B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1E22B4">
        <w:rPr>
          <w:rFonts w:ascii="Century Gothic" w:hAnsi="Century Gothic"/>
        </w:rPr>
        <w:t>El presente informe técnico se remite a su dependencia para su conocimi</w:t>
      </w:r>
      <w:r w:rsidRPr="001E22B4">
        <w:rPr>
          <w:rFonts w:ascii="Century Gothic" w:hAnsi="Century Gothic"/>
        </w:rPr>
        <w:t xml:space="preserve">ento y actuación oportuna según </w:t>
      </w:r>
      <w:r w:rsidRPr="001E22B4">
        <w:rPr>
          <w:rFonts w:ascii="Century Gothic" w:hAnsi="Century Gothic"/>
        </w:rPr>
        <w:t>competencias establecidas en el marco normativo y, como autoridad en el terri</w:t>
      </w:r>
      <w:r w:rsidRPr="001E22B4">
        <w:rPr>
          <w:rFonts w:ascii="Century Gothic" w:hAnsi="Century Gothic"/>
        </w:rPr>
        <w:t xml:space="preserve">torio, para que se garantice el </w:t>
      </w:r>
      <w:r w:rsidRPr="001E22B4">
        <w:rPr>
          <w:rFonts w:ascii="Century Gothic" w:hAnsi="Century Gothic"/>
        </w:rPr>
        <w:t>cumplimiento de las evacuaciones y demoliciones, así como las recomendaciones da</w:t>
      </w:r>
      <w:r w:rsidRPr="001E22B4">
        <w:rPr>
          <w:rFonts w:ascii="Century Gothic" w:hAnsi="Century Gothic"/>
        </w:rPr>
        <w:t xml:space="preserve">das en el presente informe, que </w:t>
      </w:r>
      <w:r w:rsidRPr="001E22B4">
        <w:rPr>
          <w:rFonts w:ascii="Century Gothic" w:hAnsi="Century Gothic"/>
        </w:rPr>
        <w:t>tiene como propósito explícito reducir los niveles de riesgo y proteger la vida de los habitantes del distrito.</w:t>
      </w:r>
    </w:p>
    <w:p w:rsidR="001E22B4" w:rsidRPr="001E22B4" w:rsidRDefault="001E22B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</w:p>
    <w:p w:rsidR="001E22B4" w:rsidRPr="001E22B4" w:rsidRDefault="001E22B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1E22B4">
        <w:rPr>
          <w:rFonts w:ascii="Century Gothic" w:hAnsi="Century Gothic"/>
        </w:rPr>
        <w:t>Se remite al inspector de policía para lo de su competencia, teniendo en cuen</w:t>
      </w:r>
      <w:r w:rsidRPr="001E22B4">
        <w:rPr>
          <w:rFonts w:ascii="Century Gothic" w:hAnsi="Century Gothic"/>
        </w:rPr>
        <w:t xml:space="preserve">ta que los hechos indicados son </w:t>
      </w:r>
      <w:r w:rsidRPr="001E22B4">
        <w:rPr>
          <w:rFonts w:ascii="Century Gothic" w:hAnsi="Century Gothic"/>
        </w:rPr>
        <w:t>presuntamente constitutivos de conductas contrarias a la convivencia, consagr</w:t>
      </w:r>
      <w:r w:rsidRPr="001E22B4">
        <w:rPr>
          <w:rFonts w:ascii="Century Gothic" w:hAnsi="Century Gothic"/>
        </w:rPr>
        <w:t xml:space="preserve">adas en los numerales 4 y 5 del </w:t>
      </w:r>
      <w:r w:rsidRPr="001E22B4">
        <w:rPr>
          <w:rFonts w:ascii="Century Gothic" w:hAnsi="Century Gothic"/>
        </w:rPr>
        <w:t>artículo 27 de la ley 1801 de 2016, y posiblemente, también den lugar a la impos</w:t>
      </w:r>
      <w:r w:rsidRPr="001E22B4">
        <w:rPr>
          <w:rFonts w:ascii="Century Gothic" w:hAnsi="Century Gothic"/>
        </w:rPr>
        <w:t xml:space="preserve">ición de órdenes de policía y/o </w:t>
      </w:r>
      <w:r w:rsidRPr="001E22B4">
        <w:rPr>
          <w:rFonts w:ascii="Century Gothic" w:hAnsi="Century Gothic"/>
        </w:rPr>
        <w:t>medidas correctivas, como las indicadas en los artículos 149 y 206 de la ley citada, entre otras.</w:t>
      </w:r>
    </w:p>
    <w:p w:rsidR="001E22B4" w:rsidRPr="001E22B4" w:rsidRDefault="001E22B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</w:p>
    <w:p w:rsidR="001E22B4" w:rsidRPr="001E22B4" w:rsidRDefault="001E22B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1E22B4">
        <w:rPr>
          <w:rFonts w:ascii="Century Gothic" w:hAnsi="Century Gothic"/>
        </w:rPr>
        <w:t xml:space="preserve">1. Carrera 28F #111-190 </w:t>
      </w:r>
      <w:proofErr w:type="spellStart"/>
      <w:r w:rsidRPr="001E22B4">
        <w:rPr>
          <w:rFonts w:ascii="Century Gothic" w:hAnsi="Century Gothic"/>
        </w:rPr>
        <w:t>int</w:t>
      </w:r>
      <w:proofErr w:type="spellEnd"/>
      <w:r w:rsidRPr="001E22B4">
        <w:rPr>
          <w:rFonts w:ascii="Century Gothic" w:hAnsi="Century Gothic"/>
        </w:rPr>
        <w:t xml:space="preserve"> 179 - sin información, no se encontraba en la vivienda. </w:t>
      </w:r>
      <w:r w:rsidRPr="001E22B4">
        <w:rPr>
          <w:rFonts w:ascii="Century Gothic" w:hAnsi="Century Gothic"/>
        </w:rPr>
        <w:t xml:space="preserve">Evacuación temporal y </w:t>
      </w:r>
      <w:r w:rsidRPr="001E22B4">
        <w:rPr>
          <w:rFonts w:ascii="Century Gothic" w:hAnsi="Century Gothic"/>
        </w:rPr>
        <w:t>desmonte controlado de la vivienda.</w:t>
      </w:r>
    </w:p>
    <w:p w:rsidR="001E22B4" w:rsidRPr="001E22B4" w:rsidRDefault="001E22B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</w:p>
    <w:p w:rsidR="001E22B4" w:rsidRPr="001E22B4" w:rsidRDefault="001E22B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1E22B4">
        <w:rPr>
          <w:rFonts w:ascii="Century Gothic" w:hAnsi="Century Gothic"/>
        </w:rPr>
        <w:t xml:space="preserve">2. Carrera 28F #111-190 </w:t>
      </w:r>
      <w:proofErr w:type="spellStart"/>
      <w:r w:rsidRPr="001E22B4">
        <w:rPr>
          <w:rFonts w:ascii="Century Gothic" w:hAnsi="Century Gothic"/>
        </w:rPr>
        <w:t>int</w:t>
      </w:r>
      <w:proofErr w:type="spellEnd"/>
      <w:r w:rsidRPr="001E22B4">
        <w:rPr>
          <w:rFonts w:ascii="Century Gothic" w:hAnsi="Century Gothic"/>
        </w:rPr>
        <w:t xml:space="preserve"> 179 de referencia. Es una vivienda más abajo - José</w:t>
      </w:r>
      <w:r w:rsidRPr="001E22B4">
        <w:rPr>
          <w:rFonts w:ascii="Century Gothic" w:hAnsi="Century Gothic"/>
        </w:rPr>
        <w:t xml:space="preserve"> Alexander </w:t>
      </w:r>
      <w:proofErr w:type="spellStart"/>
      <w:r w:rsidRPr="001E22B4">
        <w:rPr>
          <w:rFonts w:ascii="Century Gothic" w:hAnsi="Century Gothic"/>
        </w:rPr>
        <w:t>Calpavire</w:t>
      </w:r>
      <w:proofErr w:type="spellEnd"/>
      <w:r w:rsidRPr="001E22B4">
        <w:rPr>
          <w:rFonts w:ascii="Century Gothic" w:hAnsi="Century Gothic"/>
        </w:rPr>
        <w:t xml:space="preserve"> Ríos. </w:t>
      </w:r>
      <w:proofErr w:type="spellStart"/>
      <w:r w:rsidRPr="001E22B4">
        <w:rPr>
          <w:rFonts w:ascii="Century Gothic" w:hAnsi="Century Gothic"/>
        </w:rPr>
        <w:t>Cel</w:t>
      </w:r>
      <w:proofErr w:type="spellEnd"/>
      <w:r w:rsidRPr="001E22B4">
        <w:rPr>
          <w:rFonts w:ascii="Century Gothic" w:hAnsi="Century Gothic"/>
        </w:rPr>
        <w:t xml:space="preserve">: </w:t>
      </w:r>
      <w:r w:rsidRPr="001E22B4">
        <w:rPr>
          <w:rFonts w:ascii="Century Gothic" w:hAnsi="Century Gothic"/>
        </w:rPr>
        <w:t>3169169526. Evacuación definitiva y desmonte controlado de la vivienda.</w:t>
      </w:r>
    </w:p>
    <w:p w:rsidR="001E22B4" w:rsidRPr="001E22B4" w:rsidRDefault="001E22B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</w:p>
    <w:p w:rsidR="001E22B4" w:rsidRPr="001E22B4" w:rsidRDefault="001E22B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1E22B4">
        <w:rPr>
          <w:rFonts w:ascii="Century Gothic" w:hAnsi="Century Gothic"/>
        </w:rPr>
        <w:t xml:space="preserve">3. Carrera 28F #111-190 </w:t>
      </w:r>
      <w:proofErr w:type="spellStart"/>
      <w:r w:rsidRPr="001E22B4">
        <w:rPr>
          <w:rFonts w:ascii="Century Gothic" w:hAnsi="Century Gothic"/>
        </w:rPr>
        <w:t>int</w:t>
      </w:r>
      <w:proofErr w:type="spellEnd"/>
      <w:r w:rsidRPr="001E22B4">
        <w:rPr>
          <w:rFonts w:ascii="Century Gothic" w:hAnsi="Century Gothic"/>
        </w:rPr>
        <w:t xml:space="preserve"> 179 de referencia. Es la última vivienda bajando por las</w:t>
      </w:r>
      <w:r w:rsidRPr="001E22B4">
        <w:rPr>
          <w:rFonts w:ascii="Century Gothic" w:hAnsi="Century Gothic"/>
        </w:rPr>
        <w:t xml:space="preserve"> escalas - camino, aledaña a la </w:t>
      </w:r>
      <w:r w:rsidRPr="001E22B4">
        <w:rPr>
          <w:rFonts w:ascii="Century Gothic" w:hAnsi="Century Gothic"/>
        </w:rPr>
        <w:t xml:space="preserve">quebrada La Seca. Anderson Castillo y </w:t>
      </w:r>
      <w:proofErr w:type="spellStart"/>
      <w:r w:rsidRPr="001E22B4">
        <w:rPr>
          <w:rFonts w:ascii="Century Gothic" w:hAnsi="Century Gothic"/>
        </w:rPr>
        <w:t>Maholis</w:t>
      </w:r>
      <w:proofErr w:type="spellEnd"/>
      <w:r w:rsidRPr="001E22B4">
        <w:rPr>
          <w:rFonts w:ascii="Century Gothic" w:hAnsi="Century Gothic"/>
        </w:rPr>
        <w:t xml:space="preserve"> Sofía </w:t>
      </w:r>
      <w:proofErr w:type="spellStart"/>
      <w:r w:rsidRPr="001E22B4">
        <w:rPr>
          <w:rFonts w:ascii="Century Gothic" w:hAnsi="Century Gothic"/>
        </w:rPr>
        <w:t>Osten</w:t>
      </w:r>
      <w:proofErr w:type="spellEnd"/>
      <w:r w:rsidRPr="001E22B4">
        <w:rPr>
          <w:rFonts w:ascii="Century Gothic" w:hAnsi="Century Gothic"/>
        </w:rPr>
        <w:t xml:space="preserve"> Miranda- </w:t>
      </w:r>
      <w:proofErr w:type="spellStart"/>
      <w:r w:rsidRPr="001E22B4">
        <w:rPr>
          <w:rFonts w:ascii="Century Gothic" w:hAnsi="Century Gothic"/>
        </w:rPr>
        <w:t>Cel</w:t>
      </w:r>
      <w:proofErr w:type="spellEnd"/>
      <w:r w:rsidRPr="001E22B4">
        <w:rPr>
          <w:rFonts w:ascii="Century Gothic" w:hAnsi="Century Gothic"/>
        </w:rPr>
        <w:t>: 3044</w:t>
      </w:r>
      <w:r w:rsidRPr="001E22B4">
        <w:rPr>
          <w:rFonts w:ascii="Century Gothic" w:hAnsi="Century Gothic"/>
        </w:rPr>
        <w:t xml:space="preserve">267462. Evacuación definitiva y </w:t>
      </w:r>
      <w:r w:rsidRPr="001E22B4">
        <w:rPr>
          <w:rFonts w:ascii="Century Gothic" w:hAnsi="Century Gothic"/>
        </w:rPr>
        <w:t>desmonte controlado de la vivienda.</w:t>
      </w:r>
    </w:p>
    <w:p w:rsidR="001E22B4" w:rsidRDefault="001E22B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1E22B4" w:rsidRPr="001E22B4" w:rsidRDefault="001E22B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1E22B4" w:rsidRPr="001E22B4" w:rsidRDefault="001E22B4" w:rsidP="001E22B4">
      <w:pPr>
        <w:autoSpaceDE w:val="0"/>
        <w:spacing w:after="0" w:line="240" w:lineRule="auto"/>
        <w:jc w:val="center"/>
        <w:textAlignment w:val="auto"/>
        <w:rPr>
          <w:rFonts w:ascii="Century Gothic" w:hAnsi="Century Gothic"/>
          <w:b/>
        </w:rPr>
      </w:pPr>
      <w:r w:rsidRPr="001E22B4">
        <w:rPr>
          <w:rFonts w:ascii="Century Gothic" w:hAnsi="Century Gothic"/>
          <w:b/>
        </w:rPr>
        <w:t xml:space="preserve">Secretaria de Inclusión Social y Familia - </w:t>
      </w:r>
      <w:proofErr w:type="spellStart"/>
      <w:r w:rsidRPr="001E22B4">
        <w:rPr>
          <w:rFonts w:ascii="Century Gothic" w:hAnsi="Century Gothic"/>
          <w:b/>
        </w:rPr>
        <w:t>Comision</w:t>
      </w:r>
      <w:proofErr w:type="spellEnd"/>
      <w:r w:rsidRPr="001E22B4">
        <w:rPr>
          <w:rFonts w:ascii="Century Gothic" w:hAnsi="Century Gothic"/>
          <w:b/>
        </w:rPr>
        <w:t xml:space="preserve"> Social de Emergencia</w:t>
      </w:r>
    </w:p>
    <w:p w:rsidR="001E22B4" w:rsidRPr="001E22B4" w:rsidRDefault="001E22B4" w:rsidP="001E22B4">
      <w:pPr>
        <w:autoSpaceDE w:val="0"/>
        <w:spacing w:after="0" w:line="240" w:lineRule="auto"/>
        <w:jc w:val="center"/>
        <w:textAlignment w:val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(</w:t>
      </w:r>
      <w:proofErr w:type="spellStart"/>
      <w:r w:rsidRPr="001E22B4">
        <w:rPr>
          <w:rFonts w:ascii="Century Gothic" w:hAnsi="Century Gothic"/>
          <w:b/>
        </w:rPr>
        <w:t>Cll</w:t>
      </w:r>
      <w:proofErr w:type="spellEnd"/>
      <w:r w:rsidRPr="001E22B4">
        <w:rPr>
          <w:rFonts w:ascii="Century Gothic" w:hAnsi="Century Gothic"/>
          <w:b/>
        </w:rPr>
        <w:t>. 57 #45-129</w:t>
      </w:r>
      <w:r>
        <w:rPr>
          <w:rFonts w:ascii="Century Gothic" w:hAnsi="Century Gothic"/>
          <w:b/>
        </w:rPr>
        <w:t>)</w:t>
      </w:r>
    </w:p>
    <w:p w:rsidR="001E22B4" w:rsidRDefault="001E22B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1E22B4" w:rsidRPr="001E22B4" w:rsidRDefault="001E22B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1E22B4">
        <w:rPr>
          <w:rFonts w:ascii="Century Gothic" w:hAnsi="Century Gothic"/>
        </w:rPr>
        <w:t>Para su conocimiento y actuación según su competencia ante la recomendación d</w:t>
      </w:r>
      <w:r w:rsidRPr="001E22B4">
        <w:rPr>
          <w:rFonts w:ascii="Century Gothic" w:hAnsi="Century Gothic"/>
        </w:rPr>
        <w:t xml:space="preserve">e evacuación de las 3 viviendas </w:t>
      </w:r>
      <w:r w:rsidRPr="001E22B4">
        <w:rPr>
          <w:rFonts w:ascii="Century Gothic" w:hAnsi="Century Gothic"/>
        </w:rPr>
        <w:t>referenciadas en este informe:</w:t>
      </w:r>
    </w:p>
    <w:p w:rsidR="001E22B4" w:rsidRPr="001E22B4" w:rsidRDefault="001E22B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</w:p>
    <w:p w:rsidR="001E22B4" w:rsidRDefault="001E22B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1E22B4">
        <w:rPr>
          <w:rFonts w:ascii="Century Gothic" w:hAnsi="Century Gothic"/>
        </w:rPr>
        <w:t xml:space="preserve">1. Carrera 28F #111-190 </w:t>
      </w:r>
      <w:proofErr w:type="spellStart"/>
      <w:r w:rsidRPr="001E22B4">
        <w:rPr>
          <w:rFonts w:ascii="Century Gothic" w:hAnsi="Century Gothic"/>
        </w:rPr>
        <w:t>int</w:t>
      </w:r>
      <w:proofErr w:type="spellEnd"/>
      <w:r w:rsidRPr="001E22B4">
        <w:rPr>
          <w:rFonts w:ascii="Century Gothic" w:hAnsi="Century Gothic"/>
        </w:rPr>
        <w:t xml:space="preserve"> 179 - sin información, no se encontraba en la vivienda</w:t>
      </w:r>
      <w:r w:rsidR="00944574">
        <w:rPr>
          <w:rFonts w:ascii="Century Gothic" w:hAnsi="Century Gothic"/>
        </w:rPr>
        <w:t xml:space="preserve">. Evacuación temporal hasta que </w:t>
      </w:r>
      <w:r w:rsidRPr="001E22B4">
        <w:rPr>
          <w:rFonts w:ascii="Century Gothic" w:hAnsi="Century Gothic"/>
        </w:rPr>
        <w:t>se realicen estudios de riesgo detallados por movimientos en masa.</w:t>
      </w:r>
    </w:p>
    <w:p w:rsidR="00944574" w:rsidRPr="001E22B4" w:rsidRDefault="0094457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</w:p>
    <w:p w:rsidR="001E22B4" w:rsidRDefault="001E22B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1E22B4">
        <w:rPr>
          <w:rFonts w:ascii="Century Gothic" w:hAnsi="Century Gothic"/>
        </w:rPr>
        <w:t xml:space="preserve">2. Carrera 28F #111-190 </w:t>
      </w:r>
      <w:proofErr w:type="spellStart"/>
      <w:r w:rsidRPr="001E22B4">
        <w:rPr>
          <w:rFonts w:ascii="Century Gothic" w:hAnsi="Century Gothic"/>
        </w:rPr>
        <w:t>int</w:t>
      </w:r>
      <w:proofErr w:type="spellEnd"/>
      <w:r w:rsidRPr="001E22B4">
        <w:rPr>
          <w:rFonts w:ascii="Century Gothic" w:hAnsi="Century Gothic"/>
        </w:rPr>
        <w:t xml:space="preserve"> 179 de referencia. Es una vivienda más abajo - José</w:t>
      </w:r>
      <w:r w:rsidR="00944574">
        <w:rPr>
          <w:rFonts w:ascii="Century Gothic" w:hAnsi="Century Gothic"/>
        </w:rPr>
        <w:t xml:space="preserve"> Alexander </w:t>
      </w:r>
      <w:proofErr w:type="spellStart"/>
      <w:r w:rsidR="00944574">
        <w:rPr>
          <w:rFonts w:ascii="Century Gothic" w:hAnsi="Century Gothic"/>
        </w:rPr>
        <w:t>Calpavire</w:t>
      </w:r>
      <w:proofErr w:type="spellEnd"/>
      <w:r w:rsidR="00944574">
        <w:rPr>
          <w:rFonts w:ascii="Century Gothic" w:hAnsi="Century Gothic"/>
        </w:rPr>
        <w:t xml:space="preserve"> Ríos. </w:t>
      </w:r>
      <w:proofErr w:type="spellStart"/>
      <w:r w:rsidR="00944574">
        <w:rPr>
          <w:rFonts w:ascii="Century Gothic" w:hAnsi="Century Gothic"/>
        </w:rPr>
        <w:t>Cel</w:t>
      </w:r>
      <w:proofErr w:type="spellEnd"/>
      <w:r w:rsidR="00944574">
        <w:rPr>
          <w:rFonts w:ascii="Century Gothic" w:hAnsi="Century Gothic"/>
        </w:rPr>
        <w:t xml:space="preserve">: </w:t>
      </w:r>
      <w:r w:rsidRPr="001E22B4">
        <w:rPr>
          <w:rFonts w:ascii="Century Gothic" w:hAnsi="Century Gothic"/>
        </w:rPr>
        <w:t>3169169526. Evacuación definitiva.</w:t>
      </w:r>
    </w:p>
    <w:p w:rsidR="00944574" w:rsidRPr="001E22B4" w:rsidRDefault="0094457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</w:p>
    <w:p w:rsidR="001E22B4" w:rsidRPr="001E22B4" w:rsidRDefault="001E22B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1E22B4">
        <w:rPr>
          <w:rFonts w:ascii="Century Gothic" w:hAnsi="Century Gothic"/>
        </w:rPr>
        <w:t xml:space="preserve">3. Carrera 28F #111-190 </w:t>
      </w:r>
      <w:proofErr w:type="spellStart"/>
      <w:r w:rsidRPr="001E22B4">
        <w:rPr>
          <w:rFonts w:ascii="Century Gothic" w:hAnsi="Century Gothic"/>
        </w:rPr>
        <w:t>int</w:t>
      </w:r>
      <w:proofErr w:type="spellEnd"/>
      <w:r w:rsidRPr="001E22B4">
        <w:rPr>
          <w:rFonts w:ascii="Century Gothic" w:hAnsi="Century Gothic"/>
        </w:rPr>
        <w:t xml:space="preserve"> 179 de referencia. Es la última vivienda bajando por las escalas -</w:t>
      </w:r>
      <w:r w:rsidR="00944574">
        <w:rPr>
          <w:rFonts w:ascii="Century Gothic" w:hAnsi="Century Gothic"/>
        </w:rPr>
        <w:t xml:space="preserve"> camino, aledaña a la </w:t>
      </w:r>
      <w:r w:rsidRPr="001E22B4">
        <w:rPr>
          <w:rFonts w:ascii="Century Gothic" w:hAnsi="Century Gothic"/>
        </w:rPr>
        <w:t xml:space="preserve">quebrada La Seca. Anderson Castillo y </w:t>
      </w:r>
      <w:proofErr w:type="spellStart"/>
      <w:r w:rsidRPr="001E22B4">
        <w:rPr>
          <w:rFonts w:ascii="Century Gothic" w:hAnsi="Century Gothic"/>
        </w:rPr>
        <w:t>Maholis</w:t>
      </w:r>
      <w:proofErr w:type="spellEnd"/>
      <w:r w:rsidRPr="001E22B4">
        <w:rPr>
          <w:rFonts w:ascii="Century Gothic" w:hAnsi="Century Gothic"/>
        </w:rPr>
        <w:t xml:space="preserve"> Sofía </w:t>
      </w:r>
      <w:proofErr w:type="spellStart"/>
      <w:r w:rsidRPr="001E22B4">
        <w:rPr>
          <w:rFonts w:ascii="Century Gothic" w:hAnsi="Century Gothic"/>
        </w:rPr>
        <w:t>Osten</w:t>
      </w:r>
      <w:proofErr w:type="spellEnd"/>
      <w:r w:rsidRPr="001E22B4">
        <w:rPr>
          <w:rFonts w:ascii="Century Gothic" w:hAnsi="Century Gothic"/>
        </w:rPr>
        <w:t xml:space="preserve"> Miranda- </w:t>
      </w:r>
      <w:proofErr w:type="spellStart"/>
      <w:r w:rsidRPr="001E22B4">
        <w:rPr>
          <w:rFonts w:ascii="Century Gothic" w:hAnsi="Century Gothic"/>
        </w:rPr>
        <w:t>Cel</w:t>
      </w:r>
      <w:proofErr w:type="spellEnd"/>
      <w:r w:rsidRPr="001E22B4">
        <w:rPr>
          <w:rFonts w:ascii="Century Gothic" w:hAnsi="Century Gothic"/>
        </w:rPr>
        <w:t>: 3044267462. Evacuación definitiva.</w:t>
      </w:r>
    </w:p>
    <w:p w:rsidR="001E22B4" w:rsidRPr="001E22B4" w:rsidRDefault="001E22B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</w:p>
    <w:p w:rsidR="001E22B4" w:rsidRDefault="001E22B4" w:rsidP="001E22B4">
      <w:pPr>
        <w:autoSpaceDE w:val="0"/>
        <w:spacing w:after="0" w:line="240" w:lineRule="auto"/>
        <w:jc w:val="center"/>
        <w:textAlignment w:val="auto"/>
        <w:rPr>
          <w:rFonts w:ascii="Century Gothic" w:hAnsi="Century Gothic"/>
          <w:b/>
        </w:rPr>
      </w:pPr>
    </w:p>
    <w:p w:rsidR="001E22B4" w:rsidRDefault="001E22B4" w:rsidP="001E22B4">
      <w:pPr>
        <w:autoSpaceDE w:val="0"/>
        <w:spacing w:after="0" w:line="240" w:lineRule="auto"/>
        <w:jc w:val="center"/>
        <w:textAlignment w:val="auto"/>
        <w:rPr>
          <w:rFonts w:ascii="Century Gothic" w:hAnsi="Century Gothic"/>
          <w:b/>
        </w:rPr>
      </w:pPr>
    </w:p>
    <w:p w:rsidR="001E22B4" w:rsidRDefault="001E22B4" w:rsidP="001E22B4">
      <w:pPr>
        <w:autoSpaceDE w:val="0"/>
        <w:spacing w:after="0" w:line="240" w:lineRule="auto"/>
        <w:jc w:val="center"/>
        <w:textAlignment w:val="auto"/>
        <w:rPr>
          <w:rFonts w:ascii="Century Gothic" w:hAnsi="Century Gothic"/>
          <w:b/>
        </w:rPr>
      </w:pPr>
    </w:p>
    <w:p w:rsidR="001E22B4" w:rsidRDefault="001E22B4" w:rsidP="001E22B4">
      <w:pPr>
        <w:autoSpaceDE w:val="0"/>
        <w:spacing w:after="0" w:line="240" w:lineRule="auto"/>
        <w:jc w:val="center"/>
        <w:textAlignment w:val="auto"/>
        <w:rPr>
          <w:rFonts w:ascii="Century Gothic" w:hAnsi="Century Gothic"/>
          <w:b/>
        </w:rPr>
      </w:pPr>
    </w:p>
    <w:p w:rsidR="001E22B4" w:rsidRPr="001E22B4" w:rsidRDefault="001E22B4" w:rsidP="001E22B4">
      <w:pPr>
        <w:autoSpaceDE w:val="0"/>
        <w:spacing w:after="0" w:line="240" w:lineRule="auto"/>
        <w:jc w:val="center"/>
        <w:textAlignment w:val="auto"/>
        <w:rPr>
          <w:rFonts w:ascii="Century Gothic" w:hAnsi="Century Gothic"/>
          <w:b/>
        </w:rPr>
      </w:pPr>
      <w:r w:rsidRPr="001E22B4">
        <w:rPr>
          <w:rFonts w:ascii="Century Gothic" w:hAnsi="Century Gothic"/>
          <w:b/>
        </w:rPr>
        <w:t xml:space="preserve">Secretaria de </w:t>
      </w:r>
      <w:proofErr w:type="spellStart"/>
      <w:r w:rsidRPr="001E22B4">
        <w:rPr>
          <w:rFonts w:ascii="Century Gothic" w:hAnsi="Century Gothic"/>
          <w:b/>
        </w:rPr>
        <w:t>Gestion</w:t>
      </w:r>
      <w:proofErr w:type="spellEnd"/>
      <w:r w:rsidRPr="001E22B4">
        <w:rPr>
          <w:rFonts w:ascii="Century Gothic" w:hAnsi="Century Gothic"/>
          <w:b/>
        </w:rPr>
        <w:t xml:space="preserve"> y Control Territorial</w:t>
      </w:r>
    </w:p>
    <w:p w:rsidR="001E22B4" w:rsidRPr="001E22B4" w:rsidRDefault="001E22B4" w:rsidP="001E22B4">
      <w:pPr>
        <w:autoSpaceDE w:val="0"/>
        <w:spacing w:after="0" w:line="240" w:lineRule="auto"/>
        <w:jc w:val="center"/>
        <w:textAlignment w:val="auto"/>
        <w:rPr>
          <w:rFonts w:ascii="Century Gothic" w:hAnsi="Century Gothic"/>
          <w:b/>
        </w:rPr>
      </w:pPr>
      <w:r w:rsidRPr="001E22B4">
        <w:rPr>
          <w:rFonts w:ascii="Century Gothic" w:hAnsi="Century Gothic"/>
          <w:b/>
        </w:rPr>
        <w:t>Ed. plaza de la libertad torre b-piso 8</w:t>
      </w:r>
    </w:p>
    <w:p w:rsidR="001E22B4" w:rsidRDefault="001E22B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1E22B4" w:rsidRPr="001E22B4" w:rsidRDefault="001E22B4" w:rsidP="001E22B4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</w:rPr>
      </w:pPr>
      <w:r w:rsidRPr="001E22B4">
        <w:rPr>
          <w:rFonts w:ascii="Century Gothic" w:hAnsi="Century Gothic"/>
        </w:rPr>
        <w:t>El recorrido fue acompañado por el funcionario Dorian Londoño, de la SGCT, po</w:t>
      </w:r>
      <w:r w:rsidRPr="001E22B4">
        <w:rPr>
          <w:rFonts w:ascii="Century Gothic" w:hAnsi="Century Gothic"/>
        </w:rPr>
        <w:t xml:space="preserve">r lo que se recomienda realizar </w:t>
      </w:r>
      <w:r w:rsidRPr="001E22B4">
        <w:rPr>
          <w:rFonts w:ascii="Century Gothic" w:hAnsi="Century Gothic"/>
        </w:rPr>
        <w:t>seguimiento a los procesos constructivos descritos en este documento, observados tam</w:t>
      </w:r>
      <w:r w:rsidRPr="001E22B4">
        <w:rPr>
          <w:rFonts w:ascii="Century Gothic" w:hAnsi="Century Gothic"/>
        </w:rPr>
        <w:t xml:space="preserve">bién por el funcionario, con el </w:t>
      </w:r>
      <w:r w:rsidRPr="001E22B4">
        <w:rPr>
          <w:rFonts w:ascii="Century Gothic" w:hAnsi="Century Gothic"/>
        </w:rPr>
        <w:t>fin de verificar si estos cuentan con todos los requerimientos legales y los sustentos</w:t>
      </w:r>
      <w:r w:rsidRPr="001E22B4">
        <w:rPr>
          <w:rFonts w:ascii="Century Gothic" w:hAnsi="Century Gothic"/>
        </w:rPr>
        <w:t xml:space="preserve"> técnicos de ingeniería que los </w:t>
      </w:r>
      <w:r w:rsidRPr="001E22B4">
        <w:rPr>
          <w:rFonts w:ascii="Century Gothic" w:hAnsi="Century Gothic"/>
        </w:rPr>
        <w:t>avalen.</w:t>
      </w:r>
    </w:p>
    <w:p w:rsidR="001E22B4" w:rsidRDefault="001E22B4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/>
          <w:b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Frente a este tipo de emergencias La jurisprudencia constitucional ha recalcado: </w:t>
      </w:r>
    </w:p>
    <w:p w:rsidR="004B0D33" w:rsidRDefault="004B0D33" w:rsidP="004B0D33">
      <w:pPr>
        <w:autoSpaceDE w:val="0"/>
        <w:spacing w:after="0" w:line="240" w:lineRule="auto"/>
        <w:jc w:val="both"/>
        <w:textAlignment w:val="auto"/>
        <w:rPr>
          <w:rFonts w:ascii="Century Gothic" w:hAnsi="Century Gothic" w:cs="Arial"/>
          <w:sz w:val="24"/>
          <w:szCs w:val="24"/>
        </w:rPr>
      </w:pPr>
    </w:p>
    <w:p w:rsidR="004B0D33" w:rsidRDefault="004B0D33" w:rsidP="004B0D33">
      <w:pPr>
        <w:autoSpaceDE w:val="0"/>
        <w:spacing w:after="0" w:line="240" w:lineRule="auto"/>
        <w:jc w:val="both"/>
        <w:textAlignment w:val="auto"/>
      </w:pPr>
      <w:r>
        <w:rPr>
          <w:rFonts w:ascii="Century Gothic" w:hAnsi="Century Gothic" w:cs="Arial"/>
          <w:sz w:val="24"/>
          <w:szCs w:val="24"/>
        </w:rPr>
        <w:t xml:space="preserve">La jurisprudencia constitucional ha recalcado: 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Default="004B0D33" w:rsidP="004B0D33">
      <w:pPr>
        <w:spacing w:after="0" w:line="240" w:lineRule="auto"/>
        <w:ind w:left="720"/>
        <w:jc w:val="both"/>
      </w:pPr>
      <w:r>
        <w:rPr>
          <w:rFonts w:ascii="Century Gothic" w:hAnsi="Century Gothic" w:cs="Arial"/>
          <w:i/>
          <w:sz w:val="24"/>
          <w:szCs w:val="24"/>
        </w:rPr>
        <w:t xml:space="preserve">“Es deber de las autoridades nacionales y territoriales intervenir de forma preventiva en situaciones en que están en riesgo los derechos fundamentales a la vida y a la vivienda digna de las personas que viven en zonas de alto riesgo, a esa labor preventiva que implica evacuar y demoler las viviendas de los pobladores de forma inmediata…” </w:t>
      </w:r>
      <w:r>
        <w:rPr>
          <w:rFonts w:ascii="Century Gothic" w:hAnsi="Century Gothic" w:cs="Arial"/>
          <w:b/>
          <w:sz w:val="24"/>
          <w:szCs w:val="24"/>
        </w:rPr>
        <w:t>Sentencia T-566 de 2013, T-740 de 201 y T-036 de 2010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bCs/>
          <w:sz w:val="24"/>
          <w:szCs w:val="24"/>
          <w:shd w:val="clear" w:color="auto" w:fill="FFFFFF"/>
        </w:rPr>
      </w:pPr>
      <w:r>
        <w:rPr>
          <w:rFonts w:ascii="Century Gothic" w:hAnsi="Century Gothic" w:cs="Arial"/>
          <w:bCs/>
          <w:sz w:val="24"/>
          <w:szCs w:val="24"/>
          <w:shd w:val="clear" w:color="auto" w:fill="FFFFFF"/>
        </w:rPr>
        <w:t>Por su parte el Artículo 2 inciso 2 de la Constitución Política de Colombia, cita lo siguiente:</w:t>
      </w:r>
    </w:p>
    <w:p w:rsidR="004B0D33" w:rsidRDefault="004B0D33" w:rsidP="004B0D33">
      <w:pPr>
        <w:spacing w:after="0" w:line="240" w:lineRule="auto"/>
        <w:ind w:left="708"/>
        <w:jc w:val="both"/>
        <w:rPr>
          <w:rFonts w:ascii="Century Gothic" w:hAnsi="Century Gothic" w:cs="Arial"/>
          <w:bCs/>
          <w:sz w:val="24"/>
          <w:szCs w:val="24"/>
          <w:shd w:val="clear" w:color="auto" w:fill="FFFFFF"/>
        </w:rPr>
      </w:pPr>
    </w:p>
    <w:p w:rsidR="004B0D33" w:rsidRDefault="004B0D33" w:rsidP="004B0D33">
      <w:pPr>
        <w:spacing w:after="0" w:line="240" w:lineRule="auto"/>
        <w:ind w:left="708"/>
        <w:jc w:val="both"/>
      </w:pPr>
      <w:r>
        <w:rPr>
          <w:rFonts w:ascii="Century Gothic" w:hAnsi="Century Gothic" w:cs="Arial"/>
          <w:bCs/>
          <w:i/>
          <w:sz w:val="24"/>
          <w:szCs w:val="24"/>
          <w:shd w:val="clear" w:color="auto" w:fill="FFFFFF"/>
        </w:rPr>
        <w:t>“</w:t>
      </w:r>
      <w:r>
        <w:rPr>
          <w:rFonts w:ascii="Century Gothic" w:hAnsi="Century Gothic" w:cs="Arial"/>
          <w:b/>
          <w:bCs/>
          <w:i/>
          <w:sz w:val="24"/>
          <w:szCs w:val="24"/>
          <w:shd w:val="clear" w:color="auto" w:fill="FFFFFF"/>
        </w:rPr>
        <w:t>Artículo 2. Inciso 2</w:t>
      </w:r>
      <w:r>
        <w:rPr>
          <w:rFonts w:ascii="Century Gothic" w:hAnsi="Century Gothic" w:cs="Arial"/>
          <w:b/>
          <w:i/>
          <w:sz w:val="24"/>
          <w:szCs w:val="24"/>
          <w:lang w:eastAsia="es-ES"/>
        </w:rPr>
        <w:t>.</w:t>
      </w:r>
      <w:r>
        <w:rPr>
          <w:rFonts w:ascii="Century Gothic" w:hAnsi="Century Gothic" w:cs="Arial"/>
          <w:i/>
          <w:sz w:val="24"/>
          <w:szCs w:val="24"/>
          <w:lang w:eastAsia="es-ES"/>
        </w:rPr>
        <w:t xml:space="preserve"> Las autoridades de la República están instituidas para proteger a todas las personas residentes en Colombia, en su vida, honra, bienes, creencias, y demás derechos y libertades, y para asegurar el cumplimiento de los deberes sociales del Estado y de los particulares.”.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Default="004B0D33" w:rsidP="004B0D33">
      <w:pPr>
        <w:pStyle w:val="Sinespaciado"/>
        <w:jc w:val="both"/>
      </w:pPr>
      <w:r>
        <w:rPr>
          <w:rFonts w:ascii="Century Gothic" w:hAnsi="Century Gothic" w:cs="Arial"/>
          <w:sz w:val="24"/>
          <w:szCs w:val="24"/>
        </w:rPr>
        <w:t xml:space="preserve">Por su parte, </w:t>
      </w:r>
      <w:r>
        <w:rPr>
          <w:rFonts w:ascii="Century Gothic" w:hAnsi="Century Gothic" w:cs="Arial"/>
          <w:color w:val="000000"/>
          <w:sz w:val="24"/>
          <w:szCs w:val="24"/>
          <w:lang w:val="es-CO"/>
        </w:rPr>
        <w:t>artículo 149 de la Ley 1801 de 2016 define los medios de policía como mecanismos inmediatos para ejercer de forma efectiva la función y actividad de policía.</w:t>
      </w:r>
    </w:p>
    <w:p w:rsidR="004B0D33" w:rsidRDefault="004B0D33" w:rsidP="004B0D33">
      <w:pPr>
        <w:pStyle w:val="Sinespaciado"/>
        <w:jc w:val="both"/>
        <w:rPr>
          <w:rFonts w:ascii="Century Gothic" w:hAnsi="Century Gothic" w:cs="Arial"/>
          <w:color w:val="000000"/>
          <w:sz w:val="24"/>
          <w:szCs w:val="24"/>
          <w:lang w:val="es-CO"/>
        </w:rPr>
      </w:pPr>
    </w:p>
    <w:p w:rsidR="004B0D33" w:rsidRDefault="004B0D33" w:rsidP="004B0D33">
      <w:pPr>
        <w:pStyle w:val="Sinespaciado"/>
        <w:ind w:left="720"/>
        <w:jc w:val="both"/>
      </w:pPr>
      <w:r>
        <w:rPr>
          <w:rFonts w:ascii="Century Gothic" w:hAnsi="Century Gothic" w:cs="Arial"/>
          <w:b/>
          <w:i/>
          <w:color w:val="000000"/>
          <w:sz w:val="24"/>
          <w:szCs w:val="24"/>
          <w:lang w:val="es-CO"/>
        </w:rPr>
        <w:t xml:space="preserve">“Artículo 149. Medios de policía. </w:t>
      </w:r>
      <w:r>
        <w:rPr>
          <w:rFonts w:ascii="Century Gothic" w:hAnsi="Century Gothic" w:cs="Arial"/>
          <w:i/>
          <w:color w:val="000000"/>
          <w:sz w:val="24"/>
          <w:szCs w:val="24"/>
          <w:lang w:val="es-CO"/>
        </w:rPr>
        <w:t>Los medios de policía son los instrumentos jurídicos con que cuentan las autoridades competentes para el cumplimiento efectivo de la función y actividad de policía, así como para la imposición de las medidas correctivas contempladas en este Código.</w:t>
      </w:r>
    </w:p>
    <w:p w:rsidR="004B0D33" w:rsidRDefault="004B0D33" w:rsidP="004B0D33">
      <w:pPr>
        <w:pStyle w:val="Sinespaciado"/>
        <w:ind w:left="720"/>
        <w:jc w:val="both"/>
        <w:rPr>
          <w:rFonts w:ascii="Century Gothic" w:hAnsi="Century Gothic" w:cs="Arial"/>
          <w:i/>
          <w:color w:val="000000"/>
          <w:sz w:val="24"/>
          <w:szCs w:val="24"/>
          <w:lang w:val="es-CO"/>
        </w:rPr>
      </w:pPr>
    </w:p>
    <w:p w:rsidR="004B0D33" w:rsidRDefault="004B0D33" w:rsidP="004B0D33">
      <w:pPr>
        <w:pStyle w:val="Sinespaciado"/>
        <w:ind w:left="720"/>
        <w:jc w:val="both"/>
        <w:rPr>
          <w:rFonts w:ascii="Century Gothic" w:hAnsi="Century Gothic" w:cs="Arial"/>
          <w:i/>
          <w:color w:val="000000"/>
          <w:sz w:val="24"/>
          <w:szCs w:val="24"/>
          <w:lang w:val="es-CO"/>
        </w:rPr>
      </w:pPr>
      <w:r>
        <w:rPr>
          <w:rFonts w:ascii="Century Gothic" w:hAnsi="Century Gothic" w:cs="Arial"/>
          <w:i/>
          <w:color w:val="000000"/>
          <w:sz w:val="24"/>
          <w:szCs w:val="24"/>
          <w:lang w:val="es-CO"/>
        </w:rPr>
        <w:t>Los medios de policía se clasifican en inmateriales y materiales…</w:t>
      </w:r>
    </w:p>
    <w:p w:rsidR="004B0D33" w:rsidRDefault="004B0D33" w:rsidP="004B0D33">
      <w:pPr>
        <w:pStyle w:val="Sinespaciado"/>
        <w:ind w:left="720"/>
        <w:jc w:val="both"/>
        <w:rPr>
          <w:rFonts w:ascii="Century Gothic" w:hAnsi="Century Gothic" w:cs="Arial"/>
          <w:i/>
          <w:color w:val="000000"/>
          <w:sz w:val="24"/>
          <w:szCs w:val="24"/>
          <w:lang w:val="es-CO"/>
        </w:rPr>
      </w:pPr>
    </w:p>
    <w:p w:rsidR="004B0D33" w:rsidRDefault="004B0D33" w:rsidP="004B0D33">
      <w:pPr>
        <w:pStyle w:val="Sinespaciado"/>
        <w:ind w:left="720"/>
        <w:jc w:val="both"/>
        <w:rPr>
          <w:rFonts w:ascii="Century Gothic" w:hAnsi="Century Gothic" w:cs="Arial"/>
          <w:i/>
          <w:color w:val="000000"/>
          <w:sz w:val="24"/>
          <w:szCs w:val="24"/>
          <w:lang w:val="es-CO"/>
        </w:rPr>
      </w:pPr>
      <w:r>
        <w:rPr>
          <w:rFonts w:ascii="Century Gothic" w:hAnsi="Century Gothic" w:cs="Arial"/>
          <w:i/>
          <w:color w:val="000000"/>
          <w:sz w:val="24"/>
          <w:szCs w:val="24"/>
          <w:lang w:val="es-CO"/>
        </w:rPr>
        <w:lastRenderedPageBreak/>
        <w:t>Son medios inmateriales de policía:</w:t>
      </w:r>
    </w:p>
    <w:p w:rsidR="004B0D33" w:rsidRDefault="004B0D33" w:rsidP="004B0D33">
      <w:pPr>
        <w:pStyle w:val="Sinespaciado"/>
        <w:ind w:left="720"/>
        <w:jc w:val="both"/>
        <w:rPr>
          <w:rFonts w:ascii="Century Gothic" w:hAnsi="Century Gothic" w:cs="Arial"/>
          <w:i/>
          <w:color w:val="000000"/>
          <w:sz w:val="24"/>
          <w:szCs w:val="24"/>
          <w:lang w:val="es-CO"/>
        </w:rPr>
      </w:pPr>
    </w:p>
    <w:p w:rsidR="004B0D33" w:rsidRDefault="004B0D33" w:rsidP="004B0D33">
      <w:pPr>
        <w:pStyle w:val="Sinespaciado"/>
        <w:numPr>
          <w:ilvl w:val="0"/>
          <w:numId w:val="1"/>
        </w:numPr>
        <w:overflowPunct w:val="0"/>
        <w:autoSpaceDE w:val="0"/>
        <w:ind w:left="1440"/>
        <w:jc w:val="both"/>
      </w:pPr>
      <w:r>
        <w:rPr>
          <w:rFonts w:ascii="Century Gothic" w:hAnsi="Century Gothic" w:cs="Arial"/>
          <w:b/>
          <w:i/>
          <w:color w:val="000000"/>
          <w:sz w:val="24"/>
          <w:szCs w:val="24"/>
          <w:u w:val="single"/>
          <w:lang w:val="es-CO"/>
        </w:rPr>
        <w:t>Orden de policía</w:t>
      </w:r>
      <w:r>
        <w:rPr>
          <w:rFonts w:ascii="Century Gothic" w:hAnsi="Century Gothic" w:cs="Arial"/>
          <w:i/>
          <w:color w:val="000000"/>
          <w:sz w:val="24"/>
          <w:szCs w:val="24"/>
          <w:lang w:val="es-CO"/>
        </w:rPr>
        <w:t>.</w:t>
      </w:r>
    </w:p>
    <w:p w:rsidR="004B0D33" w:rsidRDefault="004B0D33" w:rsidP="004B0D33">
      <w:pPr>
        <w:pStyle w:val="Sinespaciado"/>
        <w:numPr>
          <w:ilvl w:val="0"/>
          <w:numId w:val="1"/>
        </w:numPr>
        <w:overflowPunct w:val="0"/>
        <w:autoSpaceDE w:val="0"/>
        <w:ind w:left="1440"/>
        <w:jc w:val="both"/>
        <w:rPr>
          <w:rFonts w:ascii="Century Gothic" w:hAnsi="Century Gothic" w:cs="Arial"/>
          <w:i/>
          <w:color w:val="000000"/>
          <w:sz w:val="24"/>
          <w:szCs w:val="24"/>
          <w:lang w:val="es-CO"/>
        </w:rPr>
      </w:pPr>
      <w:r>
        <w:rPr>
          <w:rFonts w:ascii="Century Gothic" w:hAnsi="Century Gothic" w:cs="Arial"/>
          <w:i/>
          <w:color w:val="000000"/>
          <w:sz w:val="24"/>
          <w:szCs w:val="24"/>
          <w:lang w:val="es-CO"/>
        </w:rPr>
        <w:t>Permiso excepcional.</w:t>
      </w:r>
    </w:p>
    <w:p w:rsidR="004B0D33" w:rsidRDefault="004B0D33" w:rsidP="004B0D33">
      <w:pPr>
        <w:pStyle w:val="Sinespaciado"/>
        <w:numPr>
          <w:ilvl w:val="0"/>
          <w:numId w:val="1"/>
        </w:numPr>
        <w:overflowPunct w:val="0"/>
        <w:autoSpaceDE w:val="0"/>
        <w:ind w:left="1440"/>
        <w:jc w:val="both"/>
        <w:rPr>
          <w:rFonts w:ascii="Century Gothic" w:hAnsi="Century Gothic" w:cs="Arial"/>
          <w:i/>
          <w:color w:val="000000"/>
          <w:sz w:val="24"/>
          <w:szCs w:val="24"/>
          <w:lang w:val="es-CO"/>
        </w:rPr>
      </w:pPr>
      <w:r>
        <w:rPr>
          <w:rFonts w:ascii="Century Gothic" w:hAnsi="Century Gothic" w:cs="Arial"/>
          <w:i/>
          <w:color w:val="000000"/>
          <w:sz w:val="24"/>
          <w:szCs w:val="24"/>
          <w:lang w:val="es-CO"/>
        </w:rPr>
        <w:t>Reglamentos.</w:t>
      </w:r>
    </w:p>
    <w:p w:rsidR="004B0D33" w:rsidRDefault="004B0D33" w:rsidP="004B0D33">
      <w:pPr>
        <w:pStyle w:val="Sinespaciado"/>
        <w:numPr>
          <w:ilvl w:val="0"/>
          <w:numId w:val="1"/>
        </w:numPr>
        <w:overflowPunct w:val="0"/>
        <w:autoSpaceDE w:val="0"/>
        <w:ind w:left="1440"/>
        <w:jc w:val="both"/>
        <w:rPr>
          <w:rFonts w:ascii="Century Gothic" w:hAnsi="Century Gothic" w:cs="Arial"/>
          <w:i/>
          <w:color w:val="000000"/>
          <w:sz w:val="24"/>
          <w:szCs w:val="24"/>
          <w:lang w:val="es-CO"/>
        </w:rPr>
      </w:pPr>
      <w:r>
        <w:rPr>
          <w:rFonts w:ascii="Century Gothic" w:hAnsi="Century Gothic" w:cs="Arial"/>
          <w:i/>
          <w:color w:val="000000"/>
          <w:sz w:val="24"/>
          <w:szCs w:val="24"/>
          <w:lang w:val="es-CO"/>
        </w:rPr>
        <w:t>Autorización.</w:t>
      </w:r>
    </w:p>
    <w:p w:rsidR="004B0D33" w:rsidRDefault="004B0D33" w:rsidP="004B0D33">
      <w:pPr>
        <w:pStyle w:val="Sinespaciado"/>
        <w:numPr>
          <w:ilvl w:val="0"/>
          <w:numId w:val="1"/>
        </w:numPr>
        <w:overflowPunct w:val="0"/>
        <w:autoSpaceDE w:val="0"/>
        <w:ind w:left="1440"/>
        <w:jc w:val="both"/>
        <w:rPr>
          <w:rFonts w:ascii="Century Gothic" w:eastAsia="Cambria" w:hAnsi="Century Gothic" w:cs="Arial"/>
          <w:i/>
          <w:sz w:val="24"/>
          <w:szCs w:val="24"/>
        </w:rPr>
      </w:pPr>
      <w:r>
        <w:rPr>
          <w:rFonts w:ascii="Century Gothic" w:eastAsia="Cambria" w:hAnsi="Century Gothic" w:cs="Arial"/>
          <w:i/>
          <w:sz w:val="24"/>
          <w:szCs w:val="24"/>
        </w:rPr>
        <w:t>Mediación policial.</w:t>
      </w:r>
    </w:p>
    <w:p w:rsidR="004B0D33" w:rsidRDefault="004B0D33" w:rsidP="004B0D33">
      <w:pPr>
        <w:pStyle w:val="Sinespaciado"/>
        <w:jc w:val="both"/>
        <w:rPr>
          <w:rFonts w:ascii="Century Gothic" w:hAnsi="Century Gothic" w:cs="Arial"/>
          <w:color w:val="000000"/>
          <w:sz w:val="24"/>
          <w:szCs w:val="24"/>
          <w:lang w:val="es-CO"/>
        </w:rPr>
      </w:pPr>
    </w:p>
    <w:p w:rsidR="004B0D33" w:rsidRDefault="004B0D33" w:rsidP="004B0D33">
      <w:pPr>
        <w:pStyle w:val="Sinespaciado"/>
        <w:jc w:val="both"/>
        <w:rPr>
          <w:rFonts w:ascii="Century Gothic" w:hAnsi="Century Gothic" w:cs="Arial"/>
          <w:color w:val="000000"/>
          <w:sz w:val="24"/>
          <w:szCs w:val="24"/>
          <w:lang w:val="es-CO"/>
        </w:rPr>
      </w:pPr>
      <w:r>
        <w:rPr>
          <w:rFonts w:ascii="Century Gothic" w:hAnsi="Century Gothic" w:cs="Arial"/>
          <w:color w:val="000000"/>
          <w:sz w:val="24"/>
          <w:szCs w:val="24"/>
          <w:lang w:val="es-CO"/>
        </w:rPr>
        <w:t>Tratándose de “Ordenes de Policía”, el Artículo 150 de la Ley 1801 de 2016 estipula que:</w:t>
      </w:r>
    </w:p>
    <w:p w:rsidR="004B0D33" w:rsidRDefault="004B0D33" w:rsidP="004B0D33">
      <w:pPr>
        <w:pStyle w:val="Sinespaciado"/>
        <w:jc w:val="both"/>
        <w:rPr>
          <w:rFonts w:ascii="Century Gothic" w:hAnsi="Century Gothic" w:cs="Arial"/>
          <w:color w:val="000000"/>
          <w:sz w:val="24"/>
          <w:szCs w:val="24"/>
          <w:lang w:val="es-CO"/>
        </w:rPr>
      </w:pPr>
    </w:p>
    <w:p w:rsidR="004B0D33" w:rsidRDefault="004B0D33" w:rsidP="004B0D33">
      <w:pPr>
        <w:pStyle w:val="Sinespaciado"/>
        <w:ind w:left="720"/>
        <w:jc w:val="both"/>
      </w:pPr>
      <w:r>
        <w:rPr>
          <w:rFonts w:ascii="Century Gothic" w:hAnsi="Century Gothic" w:cs="Arial"/>
          <w:b/>
          <w:i/>
          <w:color w:val="000000"/>
          <w:sz w:val="24"/>
          <w:szCs w:val="24"/>
          <w:lang w:val="es-CO"/>
        </w:rPr>
        <w:t>“Artículo 150. Orden de policía.</w:t>
      </w:r>
      <w:r>
        <w:rPr>
          <w:rFonts w:ascii="Century Gothic" w:hAnsi="Century Gothic" w:cs="Arial"/>
          <w:i/>
          <w:color w:val="000000"/>
          <w:sz w:val="24"/>
          <w:szCs w:val="24"/>
          <w:lang w:val="es-CO"/>
        </w:rPr>
        <w:t xml:space="preserve"> La orden de policía es un mandato claro, preciso y conciso dirigido en forma individual o de carácter general, escrito o verbal, emanado de la autoridad de policía, para prevenir o superar comportamientos o hechos contrarios a la convivencia, o para restablecerla.</w:t>
      </w:r>
    </w:p>
    <w:p w:rsidR="004B0D33" w:rsidRDefault="004B0D33" w:rsidP="004B0D33">
      <w:pPr>
        <w:pStyle w:val="Sinespaciado"/>
        <w:ind w:left="720"/>
        <w:jc w:val="both"/>
        <w:rPr>
          <w:rFonts w:ascii="Century Gothic" w:hAnsi="Century Gothic" w:cs="Arial"/>
          <w:i/>
          <w:color w:val="000000"/>
          <w:sz w:val="24"/>
          <w:szCs w:val="24"/>
          <w:lang w:val="es-CO"/>
        </w:rPr>
      </w:pPr>
    </w:p>
    <w:p w:rsidR="004B0D33" w:rsidRDefault="004B0D33" w:rsidP="004B0D33">
      <w:pPr>
        <w:pStyle w:val="Sinespaciado"/>
        <w:ind w:left="720"/>
        <w:jc w:val="both"/>
        <w:rPr>
          <w:rFonts w:ascii="Century Gothic" w:hAnsi="Century Gothic" w:cs="Arial"/>
          <w:i/>
          <w:color w:val="000000"/>
          <w:sz w:val="24"/>
          <w:szCs w:val="24"/>
          <w:lang w:val="es-CO"/>
        </w:rPr>
      </w:pPr>
      <w:r>
        <w:rPr>
          <w:rFonts w:ascii="Century Gothic" w:hAnsi="Century Gothic" w:cs="Arial"/>
          <w:i/>
          <w:color w:val="000000"/>
          <w:sz w:val="24"/>
          <w:szCs w:val="24"/>
          <w:lang w:val="es-CO"/>
        </w:rPr>
        <w:t>Las órdenes de policía son de obligatorio cumplimiento. Las personas que las desobedezcan serán obligadas a cumplirlas a través, si es necesario, de los medios, medidas y procedimientos establecidos en este Código. Si la orden no fuere de inmediato cumplimiento, la autoridad conminará a la persona para que la cumpla en un plazo determinado, sin perjuicio de las acciones legales pertinentes.</w:t>
      </w:r>
    </w:p>
    <w:p w:rsidR="004B0D33" w:rsidRDefault="004B0D33" w:rsidP="004B0D33">
      <w:pPr>
        <w:pStyle w:val="Sinespaciado"/>
        <w:ind w:left="720"/>
        <w:jc w:val="both"/>
        <w:rPr>
          <w:rFonts w:ascii="Century Gothic" w:hAnsi="Century Gothic" w:cs="Arial"/>
          <w:i/>
          <w:color w:val="000000"/>
          <w:sz w:val="24"/>
          <w:szCs w:val="24"/>
          <w:lang w:val="es-CO"/>
        </w:rPr>
      </w:pPr>
    </w:p>
    <w:p w:rsidR="004B0D33" w:rsidRDefault="004B0D33" w:rsidP="004B0D33">
      <w:pPr>
        <w:pStyle w:val="Sinespaciado"/>
        <w:ind w:left="720"/>
        <w:jc w:val="both"/>
      </w:pPr>
      <w:r>
        <w:rPr>
          <w:rFonts w:ascii="Century Gothic" w:hAnsi="Century Gothic" w:cs="Arial"/>
          <w:b/>
          <w:i/>
          <w:color w:val="000000"/>
          <w:sz w:val="24"/>
          <w:szCs w:val="24"/>
          <w:lang w:val="es-CO"/>
        </w:rPr>
        <w:t>Parágrafo.</w:t>
      </w:r>
      <w:r>
        <w:rPr>
          <w:rFonts w:ascii="Century Gothic" w:hAnsi="Century Gothic" w:cs="Arial"/>
          <w:i/>
          <w:color w:val="000000"/>
          <w:sz w:val="24"/>
          <w:szCs w:val="24"/>
          <w:lang w:val="es-CO"/>
        </w:rPr>
        <w:t xml:space="preserve"> El incumplimiento de la orden de policía mediante la cual se imponen medidas correctivas configura el tipo penal establecido para el fraude a resolución judicial o administrativa de policía establecido en el artículo 454 de la Ley 599 de 2000.”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</w:pPr>
      <w:r>
        <w:rPr>
          <w:rFonts w:ascii="Century Gothic" w:hAnsi="Century Gothic" w:cs="Arial"/>
          <w:color w:val="000000"/>
          <w:sz w:val="24"/>
          <w:szCs w:val="24"/>
          <w:lang w:val="es-CO"/>
        </w:rPr>
        <w:t xml:space="preserve">Que </w:t>
      </w:r>
      <w:r>
        <w:rPr>
          <w:rFonts w:ascii="Century Gothic" w:hAnsi="Century Gothic" w:cs="Arial"/>
          <w:sz w:val="24"/>
          <w:szCs w:val="24"/>
        </w:rPr>
        <w:t xml:space="preserve">en aras de salvaguardar la vida y la integridad de las personas que habitan el inmueble ubicado en la </w:t>
      </w:r>
      <w:r w:rsidR="005903A0">
        <w:rPr>
          <w:rFonts w:ascii="Century Gothic" w:hAnsi="Century Gothic" w:cs="Arial"/>
          <w:b/>
          <w:sz w:val="24"/>
          <w:szCs w:val="24"/>
        </w:rPr>
        <w:t>CARRERA 28 F N° 111 – 190 INTERIOR 179 - TEMPORAL / CARRERA 28 F N° 111 – 190 INTERIOR 179 DE REFERENCIA – DEFINITIVA / CARRERA 28 F N° 111 – 190 INTERIOR 179 DE REFERENCIA - DEFINITIVA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>
        <w:rPr>
          <w:rFonts w:ascii="Century Gothic" w:hAnsi="Century Gothic" w:cs="Arial"/>
          <w:sz w:val="24"/>
          <w:szCs w:val="24"/>
        </w:rPr>
        <w:t>de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>
        <w:rPr>
          <w:rFonts w:ascii="Century Gothic" w:hAnsi="Century Gothic" w:cs="Arial"/>
          <w:color w:val="000000"/>
          <w:sz w:val="24"/>
          <w:szCs w:val="24"/>
        </w:rPr>
        <w:t>esta ciudad</w:t>
      </w:r>
      <w:r>
        <w:rPr>
          <w:rFonts w:ascii="Century Gothic" w:hAnsi="Century Gothic" w:cs="Arial"/>
          <w:color w:val="000000"/>
          <w:sz w:val="24"/>
          <w:szCs w:val="24"/>
          <w:lang w:val="es-CO"/>
        </w:rPr>
        <w:t xml:space="preserve"> y con fundamento en los artículos 206 y 194 de la Ley 1801 de 2016 esta Inspección, </w:t>
      </w:r>
      <w:r>
        <w:rPr>
          <w:rFonts w:ascii="Century Gothic" w:hAnsi="Century Gothic" w:cs="Arial"/>
          <w:sz w:val="24"/>
          <w:szCs w:val="24"/>
        </w:rPr>
        <w:t xml:space="preserve">en ejercicio de su poder, función y actividad de policía, ordenará el cumplimiento de las RECOMENDACIONESDEL DAGRD, las cuales consisten en:  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4B0D33" w:rsidRDefault="004B0D33" w:rsidP="004B0D3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EVACUACIÓN DEFINITIVA Y LA DEMOLICIÓN DE LA VIVIENDA</w:t>
      </w:r>
    </w:p>
    <w:p w:rsidR="004B0D33" w:rsidRDefault="004B0D33" w:rsidP="004B0D3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EVACUACION TEMPORAL DE LA VIVIENDA</w:t>
      </w:r>
    </w:p>
    <w:p w:rsidR="004B0D33" w:rsidRDefault="004B0D33" w:rsidP="004B0D33">
      <w:pPr>
        <w:pStyle w:val="Prrafodelista"/>
        <w:numPr>
          <w:ilvl w:val="0"/>
          <w:numId w:val="2"/>
        </w:numPr>
        <w:spacing w:after="0" w:line="240" w:lineRule="auto"/>
        <w:jc w:val="both"/>
      </w:pPr>
      <w:r>
        <w:rPr>
          <w:rFonts w:ascii="Century Gothic" w:hAnsi="Century Gothic" w:cs="Arial"/>
          <w:b/>
          <w:sz w:val="24"/>
          <w:szCs w:val="24"/>
        </w:rPr>
        <w:t>SUSPENSION DE SERVICIOS PUBLICOS</w:t>
      </w:r>
    </w:p>
    <w:p w:rsidR="004B0D33" w:rsidRDefault="004B0D33" w:rsidP="004B0D33">
      <w:pPr>
        <w:pStyle w:val="Prrafodelista"/>
        <w:numPr>
          <w:ilvl w:val="0"/>
          <w:numId w:val="2"/>
        </w:numPr>
        <w:spacing w:after="0" w:line="240" w:lineRule="auto"/>
        <w:jc w:val="both"/>
      </w:pPr>
      <w:r>
        <w:rPr>
          <w:rFonts w:ascii="Century Gothic" w:hAnsi="Century Gothic" w:cs="Arial"/>
          <w:b/>
          <w:sz w:val="24"/>
          <w:szCs w:val="24"/>
        </w:rPr>
        <w:t>SUSPENSION DEL COBRO DE PREDIAL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</w:pPr>
      <w:proofErr w:type="gramStart"/>
      <w:r>
        <w:rPr>
          <w:rFonts w:ascii="Century Gothic" w:hAnsi="Century Gothic" w:cs="Arial"/>
          <w:sz w:val="24"/>
          <w:szCs w:val="24"/>
        </w:rPr>
        <w:t>de</w:t>
      </w:r>
      <w:proofErr w:type="gramEnd"/>
      <w:r>
        <w:rPr>
          <w:rFonts w:ascii="Century Gothic" w:hAnsi="Century Gothic" w:cs="Arial"/>
          <w:sz w:val="24"/>
          <w:szCs w:val="24"/>
        </w:rPr>
        <w:t xml:space="preserve"> conformidad con las recomendaciones dadas por el </w:t>
      </w:r>
      <w:r>
        <w:rPr>
          <w:rFonts w:ascii="Century Gothic" w:hAnsi="Century Gothic" w:cs="Arial"/>
          <w:b/>
          <w:sz w:val="24"/>
          <w:szCs w:val="24"/>
        </w:rPr>
        <w:t>Departamento de Gestión del Riesgo de Desastres (</w:t>
      </w:r>
      <w:r w:rsidR="004D70C6">
        <w:rPr>
          <w:rFonts w:ascii="Century Gothic" w:hAnsi="Century Gothic" w:cs="Arial"/>
          <w:b/>
          <w:sz w:val="24"/>
          <w:szCs w:val="24"/>
        </w:rPr>
        <w:t>DAGRD) FICHA TECNICA Nro. 126751</w:t>
      </w:r>
      <w:r>
        <w:rPr>
          <w:rFonts w:ascii="Century Gothic" w:hAnsi="Century Gothic" w:cs="Arial"/>
          <w:b/>
          <w:sz w:val="24"/>
          <w:szCs w:val="24"/>
        </w:rPr>
        <w:t xml:space="preserve"> del </w:t>
      </w:r>
      <w:r w:rsidR="004D70C6">
        <w:rPr>
          <w:rFonts w:ascii="Century Gothic" w:hAnsi="Century Gothic" w:cs="Arial"/>
          <w:b/>
          <w:sz w:val="24"/>
          <w:szCs w:val="24"/>
        </w:rPr>
        <w:t>26</w:t>
      </w:r>
      <w:r>
        <w:rPr>
          <w:rFonts w:ascii="Century Gothic" w:hAnsi="Century Gothic" w:cs="Arial"/>
          <w:b/>
          <w:sz w:val="24"/>
          <w:szCs w:val="24"/>
        </w:rPr>
        <w:t xml:space="preserve"> de ju</w:t>
      </w:r>
      <w:r w:rsidR="004D70C6">
        <w:rPr>
          <w:rFonts w:ascii="Century Gothic" w:hAnsi="Century Gothic" w:cs="Arial"/>
          <w:b/>
          <w:sz w:val="24"/>
          <w:szCs w:val="24"/>
        </w:rPr>
        <w:t>n</w:t>
      </w:r>
      <w:r>
        <w:rPr>
          <w:rFonts w:ascii="Century Gothic" w:hAnsi="Century Gothic" w:cs="Arial"/>
          <w:b/>
          <w:sz w:val="24"/>
          <w:szCs w:val="24"/>
        </w:rPr>
        <w:t xml:space="preserve">io de 2025 </w:t>
      </w:r>
      <w:r>
        <w:rPr>
          <w:rFonts w:ascii="Century Gothic" w:hAnsi="Century Gothic" w:cs="Arial"/>
          <w:sz w:val="24"/>
          <w:szCs w:val="24"/>
        </w:rPr>
        <w:t xml:space="preserve">Citan los </w:t>
      </w:r>
      <w:r>
        <w:rPr>
          <w:rFonts w:ascii="Century Gothic" w:hAnsi="Century Gothic" w:cs="Arial"/>
          <w:color w:val="000000"/>
          <w:sz w:val="24"/>
          <w:szCs w:val="24"/>
          <w:lang w:val="es-CO"/>
        </w:rPr>
        <w:t>artículos 206 y 194 de la Ley 1801 de 2016.</w:t>
      </w:r>
    </w:p>
    <w:p w:rsidR="004B0D33" w:rsidRDefault="004B0D33" w:rsidP="004B0D33">
      <w:pPr>
        <w:pStyle w:val="Prrafodelista"/>
        <w:spacing w:after="0" w:line="240" w:lineRule="auto"/>
        <w:jc w:val="both"/>
      </w:pPr>
    </w:p>
    <w:p w:rsidR="004B0D33" w:rsidRDefault="004B0D33" w:rsidP="004B0D33">
      <w:pPr>
        <w:spacing w:after="0" w:line="240" w:lineRule="auto"/>
        <w:ind w:left="720"/>
        <w:jc w:val="both"/>
      </w:pPr>
      <w:r>
        <w:rPr>
          <w:rFonts w:ascii="Century Gothic" w:hAnsi="Century Gothic" w:cs="Arial"/>
          <w:b/>
          <w:i/>
          <w:sz w:val="24"/>
          <w:szCs w:val="24"/>
        </w:rPr>
        <w:t>“Artículo 206. Atribuciones de los inspectores de policía rurales, urbanos y corregidores.</w:t>
      </w:r>
      <w:r>
        <w:rPr>
          <w:rFonts w:ascii="Century Gothic" w:hAnsi="Century Gothic" w:cs="Arial"/>
          <w:i/>
          <w:sz w:val="24"/>
          <w:szCs w:val="24"/>
        </w:rPr>
        <w:t xml:space="preserve"> Les corresponde la aplicación de las siguientes medidas:</w:t>
      </w:r>
    </w:p>
    <w:p w:rsidR="004B0D33" w:rsidRDefault="004B0D33" w:rsidP="004B0D33">
      <w:pPr>
        <w:spacing w:after="0" w:line="240" w:lineRule="auto"/>
        <w:ind w:left="720"/>
        <w:jc w:val="both"/>
      </w:pPr>
      <w:r>
        <w:rPr>
          <w:rFonts w:ascii="Century Gothic" w:hAnsi="Century Gothic" w:cs="Arial"/>
          <w:i/>
          <w:sz w:val="24"/>
          <w:szCs w:val="24"/>
        </w:rPr>
        <w:t>(</w:t>
      </w:r>
      <w:r>
        <w:rPr>
          <w:rFonts w:ascii="Century Gothic" w:hAnsi="Century Gothic" w:cs="Arial"/>
          <w:b/>
          <w:i/>
          <w:sz w:val="24"/>
          <w:szCs w:val="24"/>
        </w:rPr>
        <w:t>…</w:t>
      </w:r>
      <w:r>
        <w:rPr>
          <w:rFonts w:ascii="Century Gothic" w:hAnsi="Century Gothic" w:cs="Arial"/>
          <w:i/>
          <w:sz w:val="24"/>
          <w:szCs w:val="24"/>
        </w:rPr>
        <w:t>)</w:t>
      </w:r>
    </w:p>
    <w:p w:rsidR="004B0D33" w:rsidRDefault="004B0D33" w:rsidP="004B0D33">
      <w:pPr>
        <w:spacing w:after="0" w:line="240" w:lineRule="auto"/>
        <w:ind w:left="720"/>
        <w:jc w:val="both"/>
        <w:rPr>
          <w:rFonts w:ascii="Century Gothic" w:hAnsi="Century Gothic" w:cs="Arial"/>
          <w:i/>
          <w:sz w:val="24"/>
          <w:szCs w:val="24"/>
        </w:rPr>
      </w:pPr>
      <w:r>
        <w:rPr>
          <w:rFonts w:ascii="Century Gothic" w:hAnsi="Century Gothic" w:cs="Arial"/>
          <w:i/>
          <w:sz w:val="24"/>
          <w:szCs w:val="24"/>
        </w:rPr>
        <w:t>6. Conocer en primera instancia de la aplicación de las siguientes medidas correctivas:</w:t>
      </w:r>
    </w:p>
    <w:p w:rsidR="004B0D33" w:rsidRDefault="004B0D33" w:rsidP="004B0D33">
      <w:pPr>
        <w:spacing w:after="0" w:line="240" w:lineRule="auto"/>
        <w:ind w:left="720"/>
        <w:jc w:val="both"/>
        <w:rPr>
          <w:rFonts w:ascii="Century Gothic" w:hAnsi="Century Gothic" w:cs="Arial"/>
          <w:i/>
          <w:sz w:val="24"/>
          <w:szCs w:val="24"/>
        </w:rPr>
      </w:pPr>
      <w:r>
        <w:rPr>
          <w:rFonts w:ascii="Century Gothic" w:hAnsi="Century Gothic" w:cs="Arial"/>
          <w:i/>
          <w:sz w:val="24"/>
          <w:szCs w:val="24"/>
        </w:rPr>
        <w:t>a) Suspensión de construcción o demolición.</w:t>
      </w:r>
    </w:p>
    <w:p w:rsidR="004B0D33" w:rsidRDefault="004B0D33" w:rsidP="004B0D33">
      <w:pPr>
        <w:spacing w:after="0" w:line="240" w:lineRule="auto"/>
        <w:ind w:left="720"/>
        <w:jc w:val="both"/>
      </w:pPr>
      <w:r>
        <w:rPr>
          <w:rFonts w:ascii="Century Gothic" w:hAnsi="Century Gothic" w:cs="Arial"/>
          <w:i/>
          <w:sz w:val="24"/>
          <w:szCs w:val="24"/>
          <w:u w:val="single"/>
        </w:rPr>
        <w:t>b) Demolición de obra</w:t>
      </w:r>
      <w:r>
        <w:rPr>
          <w:rFonts w:ascii="Century Gothic" w:hAnsi="Century Gothic" w:cs="Arial"/>
          <w:i/>
          <w:sz w:val="24"/>
          <w:szCs w:val="24"/>
        </w:rPr>
        <w:t>.</w:t>
      </w:r>
    </w:p>
    <w:p w:rsidR="004B0D33" w:rsidRDefault="004B0D33" w:rsidP="004B0D33">
      <w:pPr>
        <w:spacing w:after="0" w:line="240" w:lineRule="auto"/>
        <w:ind w:left="720"/>
        <w:jc w:val="both"/>
      </w:pPr>
      <w:r>
        <w:rPr>
          <w:rFonts w:ascii="Century Gothic" w:hAnsi="Century Gothic" w:cs="Arial"/>
          <w:i/>
          <w:sz w:val="24"/>
          <w:szCs w:val="24"/>
        </w:rPr>
        <w:t>(</w:t>
      </w:r>
      <w:r>
        <w:rPr>
          <w:rFonts w:ascii="Century Gothic" w:hAnsi="Century Gothic" w:cs="Arial"/>
          <w:b/>
          <w:i/>
          <w:sz w:val="24"/>
          <w:szCs w:val="24"/>
        </w:rPr>
        <w:t>…</w:t>
      </w:r>
      <w:r>
        <w:rPr>
          <w:rFonts w:ascii="Century Gothic" w:hAnsi="Century Gothic" w:cs="Arial"/>
          <w:i/>
          <w:sz w:val="24"/>
          <w:szCs w:val="24"/>
        </w:rPr>
        <w:t>)”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i/>
          <w:sz w:val="24"/>
          <w:szCs w:val="24"/>
        </w:rPr>
      </w:pPr>
    </w:p>
    <w:p w:rsidR="004B0D33" w:rsidRDefault="004B0D33" w:rsidP="004B0D33">
      <w:pPr>
        <w:spacing w:after="0" w:line="240" w:lineRule="auto"/>
        <w:ind w:left="720"/>
        <w:jc w:val="both"/>
      </w:pPr>
      <w:r>
        <w:rPr>
          <w:rFonts w:ascii="Century Gothic" w:hAnsi="Century Gothic" w:cs="Arial"/>
          <w:i/>
          <w:sz w:val="24"/>
          <w:szCs w:val="24"/>
        </w:rPr>
        <w:t>“</w:t>
      </w:r>
      <w:r>
        <w:rPr>
          <w:rFonts w:ascii="Century Gothic" w:hAnsi="Century Gothic" w:cs="Arial"/>
          <w:b/>
          <w:i/>
          <w:sz w:val="24"/>
          <w:szCs w:val="24"/>
        </w:rPr>
        <w:t>Artículo 194. Demolición de obra.</w:t>
      </w:r>
      <w:r>
        <w:rPr>
          <w:rFonts w:ascii="Century Gothic" w:hAnsi="Century Gothic" w:cs="Arial"/>
          <w:i/>
          <w:sz w:val="24"/>
          <w:szCs w:val="24"/>
        </w:rPr>
        <w:t xml:space="preserve"> Consiste en la destrucción de edificación desarrollada con violación de las normas urbanísticas, ambientales o de ordenamiento territorial, </w:t>
      </w:r>
      <w:r>
        <w:rPr>
          <w:rFonts w:ascii="Century Gothic" w:hAnsi="Century Gothic" w:cs="Arial"/>
          <w:b/>
          <w:i/>
          <w:sz w:val="24"/>
          <w:szCs w:val="24"/>
          <w:u w:val="single"/>
        </w:rPr>
        <w:t>o cuando la edificación</w:t>
      </w:r>
    </w:p>
    <w:p w:rsidR="004B0D33" w:rsidRDefault="004B0D33" w:rsidP="004B0D33">
      <w:pPr>
        <w:spacing w:after="0" w:line="240" w:lineRule="auto"/>
        <w:ind w:left="720"/>
        <w:jc w:val="both"/>
      </w:pPr>
      <w:proofErr w:type="gramStart"/>
      <w:r>
        <w:rPr>
          <w:rFonts w:ascii="Century Gothic" w:hAnsi="Century Gothic" w:cs="Arial"/>
          <w:b/>
          <w:i/>
          <w:sz w:val="24"/>
          <w:szCs w:val="24"/>
          <w:u w:val="single"/>
        </w:rPr>
        <w:t>amenaza</w:t>
      </w:r>
      <w:proofErr w:type="gramEnd"/>
      <w:r>
        <w:rPr>
          <w:rFonts w:ascii="Century Gothic" w:hAnsi="Century Gothic" w:cs="Arial"/>
          <w:b/>
          <w:i/>
          <w:sz w:val="24"/>
          <w:szCs w:val="24"/>
          <w:u w:val="single"/>
        </w:rPr>
        <w:t xml:space="preserve"> ruina, para facilitar la evacuación de personas, para superar o evitar incendios, o para prevenir una emergencia o calamidad pública</w:t>
      </w:r>
      <w:r>
        <w:rPr>
          <w:rFonts w:ascii="Century Gothic" w:hAnsi="Century Gothic" w:cs="Arial"/>
          <w:i/>
          <w:sz w:val="24"/>
          <w:szCs w:val="24"/>
        </w:rPr>
        <w:t xml:space="preserve">.” </w:t>
      </w:r>
      <w:r>
        <w:rPr>
          <w:rFonts w:ascii="Century Gothic" w:hAnsi="Century Gothic" w:cs="Arial"/>
          <w:sz w:val="24"/>
          <w:szCs w:val="24"/>
        </w:rPr>
        <w:t>(Negrilla y Subrayado fuera de texto)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</w:pPr>
      <w:r>
        <w:rPr>
          <w:rFonts w:ascii="Century Gothic" w:hAnsi="Century Gothic" w:cs="Arial"/>
          <w:color w:val="000000"/>
          <w:sz w:val="24"/>
          <w:szCs w:val="24"/>
        </w:rPr>
        <w:t xml:space="preserve">Conforme al riesgo inminente reportado por el DAGRD, dentro de </w:t>
      </w:r>
      <w:r w:rsidR="004D70C6">
        <w:rPr>
          <w:rFonts w:ascii="Century Gothic" w:hAnsi="Century Gothic" w:cs="Arial"/>
          <w:b/>
          <w:sz w:val="24"/>
          <w:szCs w:val="24"/>
        </w:rPr>
        <w:t>FICHA TECNICA Nro. 126751 del 26</w:t>
      </w:r>
      <w:r>
        <w:rPr>
          <w:rFonts w:ascii="Century Gothic" w:hAnsi="Century Gothic" w:cs="Arial"/>
          <w:b/>
          <w:sz w:val="24"/>
          <w:szCs w:val="24"/>
        </w:rPr>
        <w:t xml:space="preserve"> de ju</w:t>
      </w:r>
      <w:r w:rsidR="004D70C6">
        <w:rPr>
          <w:rFonts w:ascii="Century Gothic" w:hAnsi="Century Gothic" w:cs="Arial"/>
          <w:b/>
          <w:sz w:val="24"/>
          <w:szCs w:val="24"/>
        </w:rPr>
        <w:t>n</w:t>
      </w:r>
      <w:r>
        <w:rPr>
          <w:rFonts w:ascii="Century Gothic" w:hAnsi="Century Gothic" w:cs="Arial"/>
          <w:b/>
          <w:sz w:val="24"/>
          <w:szCs w:val="24"/>
        </w:rPr>
        <w:t>io de 2025</w:t>
      </w:r>
      <w:proofErr w:type="gramStart"/>
      <w:r>
        <w:rPr>
          <w:rFonts w:ascii="Century Gothic" w:hAnsi="Century Gothic" w:cs="Arial"/>
          <w:b/>
          <w:sz w:val="24"/>
          <w:szCs w:val="24"/>
        </w:rPr>
        <w:t xml:space="preserve">, 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 la</w:t>
      </w:r>
      <w:proofErr w:type="gramEnd"/>
      <w:r>
        <w:rPr>
          <w:rFonts w:ascii="Century Gothic" w:hAnsi="Century Gothic" w:cs="Arial"/>
          <w:color w:val="000000"/>
          <w:sz w:val="24"/>
          <w:szCs w:val="24"/>
        </w:rPr>
        <w:t xml:space="preserve"> </w:t>
      </w:r>
      <w:r>
        <w:rPr>
          <w:rFonts w:ascii="Century Gothic" w:hAnsi="Century Gothic" w:cs="Arial"/>
          <w:b/>
          <w:color w:val="000000"/>
          <w:sz w:val="24"/>
          <w:szCs w:val="24"/>
        </w:rPr>
        <w:t>EVACUACIÓN DEFINITIVA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 del inmueble ubicado en la siguiente dirección: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8924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24"/>
      </w:tblGrid>
      <w:tr w:rsidR="004B0D33" w:rsidTr="00C02206">
        <w:trPr>
          <w:trHeight w:val="420"/>
        </w:trPr>
        <w:tc>
          <w:tcPr>
            <w:tcW w:w="8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0D33" w:rsidRDefault="004B0D33" w:rsidP="00C02206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RECOMENDACIONES</w:t>
            </w:r>
          </w:p>
          <w:p w:rsidR="004B0D33" w:rsidRDefault="004B0D33" w:rsidP="00C02206">
            <w:pPr>
              <w:spacing w:after="0" w:line="240" w:lineRule="auto"/>
              <w:jc w:val="both"/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Titular del inmueble:</w:t>
            </w:r>
          </w:p>
        </w:tc>
      </w:tr>
      <w:tr w:rsidR="004B0D33" w:rsidTr="00C02206">
        <w:trPr>
          <w:trHeight w:val="420"/>
        </w:trPr>
        <w:tc>
          <w:tcPr>
            <w:tcW w:w="8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0D33" w:rsidRDefault="004B0D33" w:rsidP="00C02206">
            <w:pPr>
              <w:spacing w:after="0" w:line="240" w:lineRule="auto"/>
              <w:jc w:val="both"/>
            </w:pPr>
            <w:r>
              <w:rPr>
                <w:rFonts w:ascii="Century Gothic" w:hAnsi="Century Gothic" w:cs="Arial"/>
                <w:b/>
                <w:sz w:val="24"/>
                <w:szCs w:val="24"/>
                <w:lang w:val="es-CO"/>
              </w:rPr>
              <w:t xml:space="preserve">Se recomienda a los propietarios de las viviendas y </w:t>
            </w:r>
            <w:r w:rsidR="00C67589">
              <w:rPr>
                <w:rFonts w:ascii="Century Gothic" w:hAnsi="Century Gothic"/>
                <w:sz w:val="24"/>
                <w:szCs w:val="24"/>
              </w:rPr>
              <w:t xml:space="preserve">al señor </w:t>
            </w:r>
            <w:r w:rsidR="00C67589">
              <w:rPr>
                <w:rFonts w:ascii="Century Gothic" w:hAnsi="Century Gothic"/>
                <w:b/>
                <w:sz w:val="24"/>
                <w:szCs w:val="24"/>
              </w:rPr>
              <w:t xml:space="preserve">JOSE ALEXANDER CALPAVIRE RIOS </w:t>
            </w:r>
            <w:r w:rsidR="00C67589">
              <w:rPr>
                <w:rFonts w:ascii="Century Gothic" w:hAnsi="Century Gothic"/>
                <w:sz w:val="24"/>
                <w:szCs w:val="24"/>
              </w:rPr>
              <w:t>con cédula de ciudadanía N° NO CONOCIDA</w:t>
            </w:r>
            <w:r w:rsidR="00C67589" w:rsidRPr="007017E5">
              <w:rPr>
                <w:rFonts w:ascii="Century Gothic" w:hAnsi="Century Gothic" w:cs="Arial"/>
                <w:b/>
                <w:sz w:val="24"/>
                <w:szCs w:val="24"/>
                <w:lang w:val="es-CO"/>
              </w:rPr>
              <w:t xml:space="preserve"> </w:t>
            </w:r>
            <w:r w:rsidRPr="007017E5">
              <w:rPr>
                <w:rFonts w:ascii="Century Gothic" w:hAnsi="Century Gothic" w:cs="Arial"/>
                <w:b/>
                <w:sz w:val="24"/>
                <w:szCs w:val="24"/>
                <w:lang w:val="es-CO"/>
              </w:rPr>
              <w:t>y demás personas indeterminadas</w:t>
            </w:r>
            <w:r>
              <w:rPr>
                <w:rFonts w:ascii="Century Gothic" w:hAnsi="Century Gothic" w:cs="Arial"/>
                <w:b/>
                <w:sz w:val="24"/>
                <w:szCs w:val="24"/>
                <w:lang w:val="es-CO"/>
              </w:rPr>
              <w:t xml:space="preserve"> propietarios de las viviendas ubicadas en </w:t>
            </w:r>
            <w:r w:rsidR="005903A0">
              <w:rPr>
                <w:rFonts w:ascii="Century Gothic" w:hAnsi="Century Gothic" w:cs="Arial"/>
                <w:b/>
                <w:sz w:val="24"/>
                <w:szCs w:val="24"/>
              </w:rPr>
              <w:t>CARRERA 28 F N° 111 – 190 INTERIOR 179 - TEMPORAL / CARRERA 28 F N° 111 – 190 INTERIOR 179 DE REFERENCIA – DEFINITIVA / CARRERA 28 F N° 111 – 190 INTERIOR 179 DE REFERENCIA - DEFINITIVA</w:t>
            </w:r>
            <w:r>
              <w:rPr>
                <w:rFonts w:ascii="Century Gothic" w:hAnsi="Century Gothic" w:cs="Arial"/>
                <w:b/>
                <w:sz w:val="24"/>
                <w:szCs w:val="24"/>
                <w:lang w:val="es-CO"/>
              </w:rPr>
              <w:t xml:space="preserve">.  </w:t>
            </w:r>
          </w:p>
        </w:tc>
      </w:tr>
    </w:tbl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</w:pPr>
      <w:r>
        <w:rPr>
          <w:rFonts w:ascii="Century Gothic" w:hAnsi="Century Gothic" w:cs="Arial"/>
          <w:color w:val="000000"/>
          <w:sz w:val="24"/>
          <w:szCs w:val="24"/>
        </w:rPr>
        <w:t xml:space="preserve">Y para cumplir con la orden de </w:t>
      </w:r>
      <w:r>
        <w:rPr>
          <w:rFonts w:ascii="Century Gothic" w:hAnsi="Century Gothic" w:cs="Arial"/>
          <w:b/>
          <w:color w:val="000000"/>
          <w:sz w:val="24"/>
          <w:szCs w:val="24"/>
        </w:rPr>
        <w:t>DEMOLICIÓN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 de la edificación,  </w:t>
      </w:r>
      <w:r>
        <w:rPr>
          <w:rFonts w:ascii="Century Gothic" w:hAnsi="Century Gothic" w:cs="Arial"/>
          <w:b/>
          <w:color w:val="000000"/>
          <w:sz w:val="24"/>
          <w:szCs w:val="24"/>
        </w:rPr>
        <w:t xml:space="preserve">LOS PROPIETARIOS 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contarán con un plazo máximo de </w:t>
      </w:r>
      <w:r>
        <w:rPr>
          <w:rFonts w:ascii="Century Gothic" w:hAnsi="Century Gothic" w:cs="Arial"/>
          <w:b/>
          <w:color w:val="000000"/>
          <w:sz w:val="24"/>
          <w:szCs w:val="24"/>
        </w:rPr>
        <w:t>cinco (05)</w:t>
      </w:r>
      <w:r>
        <w:rPr>
          <w:rFonts w:ascii="Century Gothic" w:hAnsi="Century Gothic" w:cs="Arial"/>
          <w:b/>
          <w:color w:val="000000"/>
          <w:sz w:val="24"/>
          <w:szCs w:val="24"/>
          <w:u w:val="single"/>
        </w:rPr>
        <w:t xml:space="preserve"> días hábiles siguientes a la ejecutoria de este acto administrativo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, advirtiendo  que en caso de que no acatar la orden impartida, en el plazo acá indicado, se  procederá con la aplicación del numeral 2 del artículo 35 de la Ley 1801 de 2016 que estipula que el incumplimiento, desacato o desconocimiento a una orden de policía es considerado como un comportamiento que afecta las relaciones entre las personas y las autoridades, lo que a su vez acarrea una sanción pecuniaria de Multa general tipo 4, equivalente a 32 Salarios Mínimos Diarios Legales Vigentes; sin perjuicio de configurar el tipo penal establecido para el fraude a resolución judicial o administrativa de Policía establecido en el parágrafo del artículo 150 de la Ley 1801 de 2016 y en el artículo 454 de la Ley 599 de 2000. 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</w:pPr>
      <w:r>
        <w:rPr>
          <w:rFonts w:ascii="Century Gothic" w:hAnsi="Century Gothic" w:cs="Arial"/>
          <w:i/>
          <w:color w:val="000000"/>
          <w:sz w:val="24"/>
          <w:szCs w:val="24"/>
        </w:rPr>
        <w:lastRenderedPageBreak/>
        <w:t xml:space="preserve"> “</w:t>
      </w:r>
      <w:r>
        <w:rPr>
          <w:rFonts w:ascii="Century Gothic" w:hAnsi="Century Gothic" w:cs="Arial"/>
          <w:b/>
          <w:i/>
          <w:color w:val="000000"/>
          <w:sz w:val="24"/>
          <w:szCs w:val="24"/>
        </w:rPr>
        <w:t xml:space="preserve">Artículo 35°. Comportamientos que afectan las relaciones entre </w:t>
      </w:r>
      <w:proofErr w:type="gramStart"/>
      <w:r>
        <w:rPr>
          <w:rFonts w:ascii="Century Gothic" w:hAnsi="Century Gothic" w:cs="Arial"/>
          <w:b/>
          <w:i/>
          <w:color w:val="000000"/>
          <w:sz w:val="24"/>
          <w:szCs w:val="24"/>
        </w:rPr>
        <w:t>las  personas</w:t>
      </w:r>
      <w:proofErr w:type="gramEnd"/>
      <w:r>
        <w:rPr>
          <w:rFonts w:ascii="Century Gothic" w:hAnsi="Century Gothic" w:cs="Arial"/>
          <w:b/>
          <w:i/>
          <w:color w:val="000000"/>
          <w:sz w:val="24"/>
          <w:szCs w:val="24"/>
        </w:rPr>
        <w:t xml:space="preserve"> y las autoridades</w:t>
      </w:r>
      <w:r>
        <w:rPr>
          <w:rFonts w:ascii="Century Gothic" w:hAnsi="Century Gothic" w:cs="Arial"/>
          <w:i/>
          <w:color w:val="000000"/>
          <w:sz w:val="24"/>
          <w:szCs w:val="24"/>
        </w:rPr>
        <w:t>. Los siguientes comportamientos afectan la relación entre las personas y las autoridades y por lo tanto no deben realizarse. Su realización dará lugar a medidas correctivas: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i/>
          <w:color w:val="000000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i/>
          <w:color w:val="000000"/>
          <w:sz w:val="24"/>
          <w:szCs w:val="24"/>
        </w:rPr>
      </w:pPr>
      <w:r>
        <w:rPr>
          <w:rFonts w:ascii="Century Gothic" w:hAnsi="Century Gothic" w:cs="Arial"/>
          <w:i/>
          <w:color w:val="000000"/>
          <w:sz w:val="24"/>
          <w:szCs w:val="24"/>
        </w:rPr>
        <w:t>…2. Incumplir, desacatar, desconocer e impedir la función o la orden de policía…”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i/>
          <w:color w:val="000000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</w:pPr>
      <w:r>
        <w:rPr>
          <w:rFonts w:ascii="Century Gothic" w:hAnsi="Century Gothic" w:cs="Arial"/>
          <w:b/>
          <w:i/>
          <w:color w:val="000000"/>
          <w:sz w:val="24"/>
          <w:szCs w:val="24"/>
        </w:rPr>
        <w:t>Parágrafo del Artículo 150.</w:t>
      </w:r>
      <w:r>
        <w:rPr>
          <w:rFonts w:ascii="Century Gothic" w:hAnsi="Century Gothic" w:cs="Arial"/>
          <w:i/>
          <w:color w:val="000000"/>
          <w:sz w:val="24"/>
          <w:szCs w:val="24"/>
        </w:rPr>
        <w:t xml:space="preserve"> El incumplimiento de la orden de Policía mediante la cual se imponen medidas correctivas configura el tipo penal establecido para el fraude a resolución judicial o administrativa de Policía establecido en el artículo 454 de la Ley 599 de 2000.”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</w:pPr>
      <w:r>
        <w:rPr>
          <w:rFonts w:ascii="Century Gothic" w:hAnsi="Century Gothic" w:cs="Arial"/>
          <w:b/>
          <w:i/>
          <w:color w:val="000000"/>
          <w:sz w:val="24"/>
          <w:szCs w:val="24"/>
        </w:rPr>
        <w:t>Artículo 454 de la Ley 599 De 2000. Fraude A Resolución Judicial O Administrativa De Policía.</w:t>
      </w:r>
      <w:r>
        <w:rPr>
          <w:rFonts w:ascii="Century Gothic" w:hAnsi="Century Gothic" w:cs="Arial"/>
          <w:i/>
          <w:color w:val="000000"/>
          <w:sz w:val="24"/>
          <w:szCs w:val="24"/>
        </w:rPr>
        <w:t xml:space="preserve"> &lt;Artículo modificado por el artículo 47 de la Ley 1453 de 2011. El nuevo texto es el siguiente:&gt; El que por cualquier medio se sustraiga al cumplimiento de obligación impuesta en resolución judicial o administrativa de policía, incurrirá en prisión de uno (1) a cuatro (4) años y multa de cinco (5) a cincuenta (50) salarios mínimos legales mensuales vigentes.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</w:pPr>
      <w:r>
        <w:rPr>
          <w:rFonts w:ascii="Century Gothic" w:hAnsi="Century Gothic" w:cs="Arial"/>
          <w:b/>
          <w:color w:val="000000"/>
          <w:sz w:val="24"/>
          <w:szCs w:val="24"/>
          <w:u w:val="single"/>
        </w:rPr>
        <w:t>Se advierte además, que conforme al Parágrafo Primero del Articulo 135 de la Ley 1801 de 2016, antes de proceder con la demolición, se deberá solicitar a las Empresas Públicas de Medellín E.S.P. – EPM, como prestadora del servicio de energía eléctrica, Acueducto y Alcantarillado, en el municipio de Medellín, la suspensión de los servicios públicos domiciliarios</w:t>
      </w:r>
      <w:r>
        <w:rPr>
          <w:rFonts w:ascii="Century Gothic" w:hAnsi="Century Gothic" w:cs="Arial"/>
          <w:b/>
          <w:bCs/>
          <w:color w:val="000000"/>
          <w:sz w:val="24"/>
          <w:szCs w:val="24"/>
          <w:u w:val="single"/>
        </w:rPr>
        <w:t xml:space="preserve"> de los inmuebles</w:t>
      </w:r>
      <w:r>
        <w:rPr>
          <w:rFonts w:ascii="Century Gothic" w:hAnsi="Century Gothic" w:cs="Arial"/>
          <w:b/>
          <w:color w:val="000000"/>
          <w:sz w:val="24"/>
          <w:szCs w:val="24"/>
          <w:u w:val="single"/>
        </w:rPr>
        <w:t xml:space="preserve"> ubicados en la </w:t>
      </w:r>
      <w:r w:rsidR="005903A0">
        <w:rPr>
          <w:rFonts w:ascii="Century Gothic" w:hAnsi="Century Gothic" w:cs="Arial"/>
          <w:b/>
          <w:sz w:val="24"/>
          <w:szCs w:val="24"/>
        </w:rPr>
        <w:t>CARRERA 28 F N° 111 – 190 INTERIOR 179 - TEMPORAL / CARRERA 28 F N° 111 – 190 INTERIOR 179 DE REFERENCIA – DEFINITIVA / CARRERA 28 F N° 111 – 190 INTERIOR 179 DE REFERENCIA - DEFINITIVA</w:t>
      </w:r>
      <w:r>
        <w:rPr>
          <w:rFonts w:ascii="Century Gothic" w:hAnsi="Century Gothic" w:cs="Arial"/>
          <w:b/>
          <w:color w:val="000000"/>
          <w:sz w:val="24"/>
          <w:szCs w:val="24"/>
          <w:u w:val="single"/>
        </w:rPr>
        <w:t xml:space="preserve"> de esta ciudad.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</w:pPr>
      <w:r>
        <w:rPr>
          <w:rFonts w:ascii="Century Gothic" w:hAnsi="Century Gothic" w:cs="Arial"/>
          <w:b/>
          <w:i/>
          <w:color w:val="000000"/>
          <w:sz w:val="24"/>
          <w:szCs w:val="24"/>
        </w:rPr>
        <w:t>Parágrafo 1° Artículo 135.</w:t>
      </w:r>
      <w:r>
        <w:rPr>
          <w:rFonts w:ascii="Century Gothic" w:hAnsi="Century Gothic" w:cs="Arial"/>
          <w:i/>
          <w:color w:val="000000"/>
          <w:sz w:val="24"/>
          <w:szCs w:val="24"/>
        </w:rPr>
        <w:t xml:space="preserve"> Cuando se trate de construcciones en terrenos no aptos o sin previa licencia, se impondrán de inmediato la medida de suspensión de construcción o demolición, y se solicitará a las empresas de servicios públicos domiciliarios la suspensión de los servicios correspondientes si no hubiese habitación.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color w:val="000000"/>
          <w:sz w:val="24"/>
          <w:szCs w:val="24"/>
        </w:rPr>
      </w:pPr>
      <w:r>
        <w:rPr>
          <w:rFonts w:ascii="Century Gothic" w:hAnsi="Century Gothic" w:cs="Arial"/>
          <w:color w:val="000000"/>
          <w:sz w:val="24"/>
          <w:szCs w:val="24"/>
        </w:rPr>
        <w:t xml:space="preserve">Así mismo, se hace preciso advertir que el Municipio de Medellín, no se hace responsable de los daños materiales o a la integridad física de las personas, que se puedan llegar a causar por desobedecimiento a la presente orden de policía, ya que es responsabilidad de los habitantes de este inmueble acatar la presente orden de policía. 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</w:pPr>
      <w:r>
        <w:rPr>
          <w:rFonts w:ascii="Century Gothic" w:hAnsi="Century Gothic" w:cs="Arial"/>
          <w:color w:val="000000"/>
          <w:sz w:val="24"/>
          <w:szCs w:val="24"/>
        </w:rPr>
        <w:t xml:space="preserve">Adicional a lo anterior, este Despacho exhorta </w:t>
      </w:r>
      <w:r w:rsidR="002F335C">
        <w:rPr>
          <w:rFonts w:ascii="Century Gothic" w:hAnsi="Century Gothic"/>
          <w:sz w:val="24"/>
          <w:szCs w:val="24"/>
        </w:rPr>
        <w:t xml:space="preserve">al señor </w:t>
      </w:r>
      <w:r w:rsidR="002F335C">
        <w:rPr>
          <w:rFonts w:ascii="Century Gothic" w:hAnsi="Century Gothic"/>
          <w:b/>
          <w:sz w:val="24"/>
          <w:szCs w:val="24"/>
        </w:rPr>
        <w:t xml:space="preserve">JOSE ALEXANDER CALPAVIRE RIOS </w:t>
      </w:r>
      <w:r w:rsidR="002F335C">
        <w:rPr>
          <w:rFonts w:ascii="Century Gothic" w:hAnsi="Century Gothic"/>
          <w:sz w:val="24"/>
          <w:szCs w:val="24"/>
        </w:rPr>
        <w:t>con cédula de ciudadanía N° NO CONOCIDA</w:t>
      </w:r>
      <w:r w:rsidR="002F335C">
        <w:rPr>
          <w:rFonts w:ascii="Century Gothic" w:hAnsi="Century Gothic" w:cs="Arial"/>
          <w:b/>
          <w:color w:val="000000"/>
          <w:sz w:val="24"/>
          <w:szCs w:val="24"/>
          <w:lang w:val="es-CO"/>
        </w:rPr>
        <w:t xml:space="preserve"> </w:t>
      </w:r>
      <w:r>
        <w:rPr>
          <w:rFonts w:ascii="Century Gothic" w:hAnsi="Century Gothic" w:cs="Arial"/>
          <w:b/>
          <w:color w:val="000000"/>
          <w:sz w:val="24"/>
          <w:szCs w:val="24"/>
          <w:lang w:val="es-CO"/>
        </w:rPr>
        <w:t xml:space="preserve">y a los </w:t>
      </w:r>
      <w:r>
        <w:rPr>
          <w:rFonts w:ascii="Century Gothic" w:hAnsi="Century Gothic" w:cs="Arial"/>
          <w:b/>
          <w:color w:val="000000"/>
          <w:sz w:val="24"/>
          <w:szCs w:val="24"/>
          <w:lang w:val="es-CO"/>
        </w:rPr>
        <w:lastRenderedPageBreak/>
        <w:t xml:space="preserve">señores propietarios de las viviendas ubicadas en </w:t>
      </w:r>
      <w:r w:rsidR="005903A0">
        <w:rPr>
          <w:rFonts w:ascii="Century Gothic" w:hAnsi="Century Gothic" w:cs="Arial"/>
          <w:b/>
          <w:sz w:val="24"/>
          <w:szCs w:val="24"/>
        </w:rPr>
        <w:t>CARRERA 28 F N° 111 – 190 INTERIOR 179 - TEMPORAL / CARRERA 28 F N° 111 – 190 INTERIOR 179 DE REFERENCIA – DEFINITIVA / CARRERA 28 F N° 111 – 190 INTERIOR 179 DE REFERENCIA - DEFINITIVA</w:t>
      </w:r>
      <w:r>
        <w:rPr>
          <w:rFonts w:ascii="Century Gothic" w:hAnsi="Century Gothic" w:cs="Arial"/>
          <w:b/>
          <w:color w:val="000000"/>
          <w:sz w:val="24"/>
          <w:szCs w:val="24"/>
        </w:rPr>
        <w:t xml:space="preserve">. </w:t>
      </w:r>
      <w:proofErr w:type="gramStart"/>
      <w:r>
        <w:rPr>
          <w:rFonts w:ascii="Century Gothic" w:hAnsi="Century Gothic" w:cs="Arial"/>
          <w:color w:val="000000"/>
          <w:sz w:val="24"/>
          <w:szCs w:val="24"/>
        </w:rPr>
        <w:t>y</w:t>
      </w:r>
      <w:proofErr w:type="gramEnd"/>
      <w:r>
        <w:rPr>
          <w:rFonts w:ascii="Century Gothic" w:hAnsi="Century Gothic" w:cs="Arial"/>
          <w:color w:val="000000"/>
          <w:sz w:val="24"/>
          <w:szCs w:val="24"/>
        </w:rPr>
        <w:t xml:space="preserve"> demás personas indeterminadas, para que eviten, reconstruir y/o de volver a ocupar la vivienda objeto de evacuación definitiva, de conformidad con las recomendaciones realizadas por el DAGRD, dentro de </w:t>
      </w:r>
      <w:r w:rsidR="005B1A02">
        <w:rPr>
          <w:rFonts w:ascii="Century Gothic" w:hAnsi="Century Gothic" w:cs="Arial"/>
          <w:b/>
          <w:color w:val="000000"/>
          <w:sz w:val="24"/>
          <w:szCs w:val="24"/>
        </w:rPr>
        <w:t>LA FICHA DEL DAGRD Nro. 126751 del 26 de jun</w:t>
      </w:r>
      <w:r>
        <w:rPr>
          <w:rFonts w:ascii="Century Gothic" w:hAnsi="Century Gothic" w:cs="Arial"/>
          <w:b/>
          <w:color w:val="000000"/>
          <w:sz w:val="24"/>
          <w:szCs w:val="24"/>
        </w:rPr>
        <w:t>io de 2025.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</w:pPr>
      <w:r>
        <w:rPr>
          <w:rFonts w:ascii="Century Gothic" w:hAnsi="Century Gothic" w:cs="Arial"/>
          <w:color w:val="000000"/>
          <w:sz w:val="24"/>
          <w:szCs w:val="24"/>
        </w:rPr>
        <w:t xml:space="preserve">En consecuencia y sin más consideraciones, </w:t>
      </w:r>
      <w:r>
        <w:rPr>
          <w:rFonts w:ascii="Century Gothic" w:hAnsi="Century Gothic" w:cs="Arial"/>
          <w:b/>
          <w:color w:val="000000"/>
          <w:sz w:val="24"/>
          <w:szCs w:val="24"/>
        </w:rPr>
        <w:t>LA INSPECTORA PRIMERA DE POLICÍA URBANA DE PRIMERA CATEGORÍA</w:t>
      </w:r>
      <w:r>
        <w:rPr>
          <w:rFonts w:ascii="Century Gothic" w:hAnsi="Century Gothic" w:cs="Arial"/>
          <w:color w:val="000000"/>
          <w:sz w:val="24"/>
          <w:szCs w:val="24"/>
        </w:rPr>
        <w:t>, en ejercicio de la función de policía y por autoridad de la ley,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b/>
          <w:color w:val="000000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center"/>
        <w:rPr>
          <w:rFonts w:ascii="Century Gothic" w:hAnsi="Century Gothic" w:cs="Arial"/>
          <w:b/>
          <w:color w:val="000000"/>
          <w:sz w:val="24"/>
          <w:szCs w:val="24"/>
        </w:rPr>
      </w:pPr>
      <w:r>
        <w:rPr>
          <w:rFonts w:ascii="Century Gothic" w:hAnsi="Century Gothic" w:cs="Arial"/>
          <w:b/>
          <w:color w:val="000000"/>
          <w:sz w:val="24"/>
          <w:szCs w:val="24"/>
        </w:rPr>
        <w:t>RESUELVE: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b/>
          <w:color w:val="000000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</w:pPr>
      <w:r>
        <w:rPr>
          <w:rFonts w:ascii="Century Gothic" w:hAnsi="Century Gothic" w:cs="Arial"/>
          <w:b/>
          <w:color w:val="000000"/>
          <w:sz w:val="24"/>
          <w:szCs w:val="24"/>
        </w:rPr>
        <w:t>ARTÍCULO PRIMERO: ORDENAR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 </w:t>
      </w:r>
      <w:r w:rsidR="002C5144">
        <w:rPr>
          <w:rFonts w:ascii="Century Gothic" w:hAnsi="Century Gothic"/>
          <w:sz w:val="24"/>
          <w:szCs w:val="24"/>
        </w:rPr>
        <w:t xml:space="preserve">al señor </w:t>
      </w:r>
      <w:r w:rsidR="002C5144">
        <w:rPr>
          <w:rFonts w:ascii="Century Gothic" w:hAnsi="Century Gothic"/>
          <w:b/>
          <w:sz w:val="24"/>
          <w:szCs w:val="24"/>
        </w:rPr>
        <w:t xml:space="preserve">JOSE ALEXANDER CALPAVIRE RIOS </w:t>
      </w:r>
      <w:r w:rsidR="002C5144">
        <w:rPr>
          <w:rFonts w:ascii="Century Gothic" w:hAnsi="Century Gothic"/>
          <w:sz w:val="24"/>
          <w:szCs w:val="24"/>
        </w:rPr>
        <w:t xml:space="preserve">con cédula de ciudadanía N° NO </w:t>
      </w:r>
      <w:r w:rsidR="002C5144" w:rsidRPr="002C5144">
        <w:rPr>
          <w:rFonts w:ascii="Century Gothic" w:hAnsi="Century Gothic"/>
          <w:sz w:val="24"/>
          <w:szCs w:val="24"/>
        </w:rPr>
        <w:t>CONOCIDA</w:t>
      </w:r>
      <w:r w:rsidR="002C5144" w:rsidRPr="002C5144">
        <w:rPr>
          <w:rFonts w:ascii="Century Gothic" w:hAnsi="Century Gothic" w:cs="Arial"/>
          <w:color w:val="000000"/>
          <w:sz w:val="24"/>
          <w:szCs w:val="24"/>
          <w:lang w:val="es-CO"/>
        </w:rPr>
        <w:t xml:space="preserve">  </w:t>
      </w:r>
      <w:r w:rsidRPr="002C5144">
        <w:rPr>
          <w:rFonts w:ascii="Century Gothic" w:hAnsi="Century Gothic" w:cs="Arial"/>
          <w:color w:val="000000"/>
          <w:sz w:val="24"/>
          <w:szCs w:val="24"/>
          <w:lang w:val="es-CO"/>
        </w:rPr>
        <w:t>y a los señores propietarios de las viviendas ubicadas</w:t>
      </w:r>
      <w:r>
        <w:rPr>
          <w:rFonts w:ascii="Century Gothic" w:hAnsi="Century Gothic" w:cs="Arial"/>
          <w:b/>
          <w:color w:val="000000"/>
          <w:sz w:val="24"/>
          <w:szCs w:val="24"/>
          <w:lang w:val="es-CO"/>
        </w:rPr>
        <w:t xml:space="preserve"> en</w:t>
      </w:r>
      <w:r>
        <w:rPr>
          <w:rFonts w:ascii="Century Gothic" w:hAnsi="Century Gothic" w:cs="Arial"/>
          <w:b/>
          <w:color w:val="000000"/>
          <w:sz w:val="24"/>
          <w:szCs w:val="24"/>
        </w:rPr>
        <w:t xml:space="preserve">, </w:t>
      </w:r>
      <w:r w:rsidR="005903A0">
        <w:rPr>
          <w:rFonts w:ascii="Century Gothic" w:hAnsi="Century Gothic" w:cs="Arial"/>
          <w:b/>
          <w:sz w:val="24"/>
          <w:szCs w:val="24"/>
        </w:rPr>
        <w:t>CARRERA 28 F N° 111 – 190 INTERIOR 179 DE REFERENCIA – DEFINITIVA / CARRERA 28 F N° 111 – 190 INTERIOR 179 DE REFERENCIA - DEFINITIVA</w:t>
      </w:r>
      <w:r>
        <w:rPr>
          <w:rFonts w:ascii="Century Gothic" w:hAnsi="Century Gothic" w:cs="Arial"/>
          <w:b/>
          <w:color w:val="000000"/>
          <w:sz w:val="24"/>
          <w:szCs w:val="24"/>
        </w:rPr>
        <w:t xml:space="preserve"> la </w:t>
      </w:r>
      <w:r>
        <w:rPr>
          <w:rFonts w:ascii="Century Gothic" w:hAnsi="Century Gothic" w:cs="Arial"/>
          <w:b/>
          <w:color w:val="000000"/>
          <w:sz w:val="24"/>
          <w:szCs w:val="24"/>
          <w:u w:val="single"/>
        </w:rPr>
        <w:t>EVACUACIÓN INMEDIATA Y DEFINITIVA DEL INMUEBLE Y POSTERIOR DESMONTE DE LA VIVIENDA</w:t>
      </w:r>
      <w:r>
        <w:rPr>
          <w:rFonts w:ascii="Century Gothic" w:hAnsi="Century Gothic" w:cs="Arial"/>
          <w:b/>
          <w:color w:val="000000"/>
          <w:sz w:val="24"/>
          <w:szCs w:val="24"/>
        </w:rPr>
        <w:t xml:space="preserve">  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de acuerdo a las recomendaciones dadas por el Departamento Administrativo de Gestión del Riesgo (DAGRD), mediante </w:t>
      </w:r>
      <w:r w:rsidR="005B1A02">
        <w:rPr>
          <w:rFonts w:ascii="Century Gothic" w:hAnsi="Century Gothic" w:cs="Arial"/>
          <w:b/>
          <w:color w:val="000000"/>
          <w:sz w:val="24"/>
          <w:szCs w:val="24"/>
        </w:rPr>
        <w:t>LA FICHA DEL DAGRD Nro. 126751</w:t>
      </w:r>
      <w:r>
        <w:rPr>
          <w:rFonts w:ascii="Century Gothic" w:hAnsi="Century Gothic" w:cs="Arial"/>
          <w:b/>
          <w:color w:val="000000"/>
          <w:sz w:val="24"/>
          <w:szCs w:val="24"/>
        </w:rPr>
        <w:t xml:space="preserve"> del </w:t>
      </w:r>
      <w:r w:rsidR="005B1A02">
        <w:rPr>
          <w:rFonts w:ascii="Century Gothic" w:hAnsi="Century Gothic" w:cs="Arial"/>
          <w:b/>
          <w:color w:val="000000"/>
          <w:sz w:val="24"/>
          <w:szCs w:val="24"/>
        </w:rPr>
        <w:t>26 de jun</w:t>
      </w:r>
      <w:r>
        <w:rPr>
          <w:rFonts w:ascii="Century Gothic" w:hAnsi="Century Gothic" w:cs="Arial"/>
          <w:b/>
          <w:color w:val="000000"/>
          <w:sz w:val="24"/>
          <w:szCs w:val="24"/>
        </w:rPr>
        <w:t xml:space="preserve">io de 2025 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donde se recomienda la </w:t>
      </w:r>
      <w:r>
        <w:rPr>
          <w:rFonts w:ascii="Century Gothic" w:hAnsi="Century Gothic" w:cs="Arial"/>
          <w:b/>
          <w:color w:val="000000"/>
          <w:sz w:val="24"/>
          <w:szCs w:val="24"/>
        </w:rPr>
        <w:t>EVACUACIÓN DEFINITIVA DE LA VIVIENDA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, ya que este no posee las condiciones aptas que garanticen la integridad  física e sus ocupantes, además se encuentra ubicada en zona con restricciones urbanísticas. Y ORDENAR </w:t>
      </w:r>
      <w:r w:rsidR="002C5144">
        <w:rPr>
          <w:rFonts w:ascii="Century Gothic" w:hAnsi="Century Gothic"/>
          <w:sz w:val="24"/>
          <w:szCs w:val="24"/>
        </w:rPr>
        <w:t xml:space="preserve">al señor </w:t>
      </w:r>
      <w:r w:rsidR="002C5144">
        <w:rPr>
          <w:rFonts w:ascii="Century Gothic" w:hAnsi="Century Gothic"/>
          <w:b/>
          <w:sz w:val="24"/>
          <w:szCs w:val="24"/>
        </w:rPr>
        <w:t xml:space="preserve">JOSE ALEXANDER CALPAVIRE RIOS </w:t>
      </w:r>
      <w:r w:rsidR="002C5144">
        <w:rPr>
          <w:rFonts w:ascii="Century Gothic" w:hAnsi="Century Gothic"/>
          <w:sz w:val="24"/>
          <w:szCs w:val="24"/>
        </w:rPr>
        <w:t xml:space="preserve">con cédula de ciudadanía N° NO </w:t>
      </w:r>
      <w:proofErr w:type="gramStart"/>
      <w:r w:rsidR="002C5144">
        <w:rPr>
          <w:rFonts w:ascii="Century Gothic" w:hAnsi="Century Gothic"/>
          <w:sz w:val="24"/>
          <w:szCs w:val="24"/>
        </w:rPr>
        <w:t>CONOCIDA</w:t>
      </w:r>
      <w:r w:rsidR="002C5144">
        <w:rPr>
          <w:rFonts w:ascii="Century Gothic" w:hAnsi="Century Gothic" w:cs="Arial"/>
          <w:color w:val="000000"/>
          <w:sz w:val="24"/>
          <w:szCs w:val="24"/>
        </w:rPr>
        <w:t xml:space="preserve">  </w:t>
      </w:r>
      <w:r>
        <w:rPr>
          <w:rFonts w:ascii="Century Gothic" w:hAnsi="Century Gothic" w:cs="Arial"/>
          <w:color w:val="000000"/>
          <w:sz w:val="24"/>
          <w:szCs w:val="24"/>
        </w:rPr>
        <w:t>y</w:t>
      </w:r>
      <w:proofErr w:type="gramEnd"/>
      <w:r>
        <w:rPr>
          <w:rFonts w:ascii="Century Gothic" w:hAnsi="Century Gothic" w:cs="Arial"/>
          <w:color w:val="000000"/>
          <w:sz w:val="24"/>
          <w:szCs w:val="24"/>
        </w:rPr>
        <w:t xml:space="preserve"> a los señores propietarios de las viviendas ubicadas en </w:t>
      </w:r>
      <w:r w:rsidR="005903A0">
        <w:rPr>
          <w:rFonts w:ascii="Century Gothic" w:hAnsi="Century Gothic" w:cs="Arial"/>
          <w:b/>
          <w:sz w:val="24"/>
          <w:szCs w:val="24"/>
        </w:rPr>
        <w:t>CARRERA 28 F N° 111 – 190 INTERIOR 179 - TEMPORAL</w:t>
      </w:r>
      <w:r>
        <w:rPr>
          <w:rFonts w:ascii="Century Gothic" w:hAnsi="Century Gothic" w:cs="Arial"/>
          <w:b/>
          <w:sz w:val="24"/>
          <w:szCs w:val="24"/>
        </w:rPr>
        <w:t>,</w:t>
      </w:r>
      <w:r>
        <w:rPr>
          <w:rFonts w:ascii="Century Gothic" w:hAnsi="Century Gothic" w:cs="Arial"/>
          <w:b/>
          <w:color w:val="000000"/>
          <w:sz w:val="24"/>
          <w:szCs w:val="24"/>
        </w:rPr>
        <w:t xml:space="preserve"> hasta que se realicen mejoramientos en la vivienda, que garanticen la salud e integridad física de quienes la habitan.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</w:pPr>
      <w:r>
        <w:rPr>
          <w:rFonts w:ascii="Century Gothic" w:hAnsi="Century Gothic" w:cs="Arial"/>
          <w:b/>
          <w:color w:val="000000"/>
          <w:sz w:val="24"/>
          <w:szCs w:val="24"/>
        </w:rPr>
        <w:t>ARTÍCULO SEGUNDO</w:t>
      </w:r>
      <w:r>
        <w:rPr>
          <w:rFonts w:ascii="Century Gothic" w:hAnsi="Century Gothic" w:cs="Arial"/>
          <w:b/>
          <w:color w:val="000000"/>
          <w:sz w:val="24"/>
          <w:szCs w:val="24"/>
          <w:lang w:val="es-CO"/>
        </w:rPr>
        <w:t xml:space="preserve">: ADVERTIR </w:t>
      </w:r>
      <w:r w:rsidR="002C5144">
        <w:rPr>
          <w:rFonts w:ascii="Century Gothic" w:hAnsi="Century Gothic"/>
          <w:sz w:val="24"/>
          <w:szCs w:val="24"/>
        </w:rPr>
        <w:t xml:space="preserve">al señor </w:t>
      </w:r>
      <w:r w:rsidR="002C5144">
        <w:rPr>
          <w:rFonts w:ascii="Century Gothic" w:hAnsi="Century Gothic"/>
          <w:b/>
          <w:sz w:val="24"/>
          <w:szCs w:val="24"/>
        </w:rPr>
        <w:t xml:space="preserve">JOSE ALEXANDER CALPAVIRE RIOS </w:t>
      </w:r>
      <w:r w:rsidR="002C5144">
        <w:rPr>
          <w:rFonts w:ascii="Century Gothic" w:hAnsi="Century Gothic"/>
          <w:sz w:val="24"/>
          <w:szCs w:val="24"/>
        </w:rPr>
        <w:t>con cédula de ciudadanía N° NO CONOCIDA</w:t>
      </w:r>
      <w:r w:rsidR="002C5144">
        <w:rPr>
          <w:rFonts w:ascii="Century Gothic" w:hAnsi="Century Gothic" w:cs="Arial"/>
          <w:color w:val="000000"/>
          <w:sz w:val="24"/>
          <w:szCs w:val="24"/>
        </w:rPr>
        <w:t xml:space="preserve">  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y a los señores propietarios de las viviendas ubicadas en </w:t>
      </w:r>
      <w:r w:rsidR="005903A0">
        <w:rPr>
          <w:rFonts w:ascii="Century Gothic" w:hAnsi="Century Gothic" w:cs="Arial"/>
          <w:b/>
          <w:sz w:val="24"/>
          <w:szCs w:val="24"/>
        </w:rPr>
        <w:t>CARRERA 28 F N° 111 – 190 INTERIOR 179 DE REFERENCIA – DEFINITIVA / CARRERA 28 F N° 111 – 190 INTERIOR 179 DE REFERENCIA - DEFINITIVA</w:t>
      </w:r>
      <w:r w:rsidR="005903A0">
        <w:rPr>
          <w:rFonts w:ascii="Century Gothic" w:hAnsi="Century Gothic" w:cs="Arial"/>
          <w:color w:val="000000"/>
          <w:sz w:val="24"/>
          <w:szCs w:val="24"/>
        </w:rPr>
        <w:t xml:space="preserve"> </w:t>
      </w:r>
      <w:r>
        <w:rPr>
          <w:rFonts w:ascii="Century Gothic" w:hAnsi="Century Gothic" w:cs="Arial"/>
          <w:color w:val="000000"/>
          <w:sz w:val="24"/>
          <w:szCs w:val="24"/>
        </w:rPr>
        <w:t>y demás personas indeterminadas</w:t>
      </w:r>
      <w:r>
        <w:rPr>
          <w:rFonts w:ascii="Century Gothic" w:hAnsi="Century Gothic" w:cs="Arial"/>
          <w:b/>
          <w:color w:val="000000"/>
          <w:sz w:val="24"/>
          <w:szCs w:val="24"/>
        </w:rPr>
        <w:t xml:space="preserve">, </w:t>
      </w:r>
      <w:r>
        <w:rPr>
          <w:rFonts w:ascii="Century Gothic" w:hAnsi="Century Gothic" w:cs="Arial"/>
          <w:bCs/>
          <w:color w:val="000000"/>
          <w:sz w:val="24"/>
          <w:szCs w:val="24"/>
        </w:rPr>
        <w:t xml:space="preserve">que antes de iniciar las obras de demolición deberán informarlo, con el fin de </w:t>
      </w:r>
      <w:r>
        <w:rPr>
          <w:rFonts w:ascii="Century Gothic" w:hAnsi="Century Gothic" w:cs="Arial"/>
          <w:color w:val="000000"/>
          <w:sz w:val="24"/>
          <w:szCs w:val="24"/>
          <w:lang w:val="es-CO"/>
        </w:rPr>
        <w:t>solicitar a las</w:t>
      </w:r>
      <w:r>
        <w:rPr>
          <w:rFonts w:ascii="Century Gothic" w:hAnsi="Century Gothic" w:cs="Arial"/>
          <w:b/>
          <w:color w:val="000000"/>
          <w:sz w:val="24"/>
          <w:szCs w:val="24"/>
          <w:lang w:val="es-CO"/>
        </w:rPr>
        <w:t xml:space="preserve"> </w:t>
      </w:r>
      <w:r>
        <w:rPr>
          <w:rFonts w:ascii="Century Gothic" w:hAnsi="Century Gothic" w:cs="Arial"/>
          <w:color w:val="000000"/>
          <w:sz w:val="24"/>
          <w:szCs w:val="24"/>
        </w:rPr>
        <w:t>Empresas Públicas de Medellín E.S.P. – EPM, como prestadora del servicio de energía eléctrica, Acueducto y Alcantarillado, en el municipio de Medellín, la suspensión de los servicios públicos domiciliarios</w:t>
      </w:r>
      <w:r>
        <w:rPr>
          <w:rFonts w:ascii="Century Gothic" w:hAnsi="Century Gothic" w:cs="Arial"/>
          <w:b/>
          <w:color w:val="000000"/>
          <w:sz w:val="24"/>
          <w:szCs w:val="24"/>
        </w:rPr>
        <w:t xml:space="preserve">, </w:t>
      </w:r>
      <w:r>
        <w:rPr>
          <w:rFonts w:ascii="Century Gothic" w:hAnsi="Century Gothic" w:cs="Arial"/>
          <w:color w:val="000000"/>
          <w:sz w:val="24"/>
          <w:szCs w:val="24"/>
        </w:rPr>
        <w:t>de las viviendas ubicadas en la</w:t>
      </w:r>
      <w:r>
        <w:rPr>
          <w:rFonts w:ascii="Century Gothic" w:hAnsi="Century Gothic" w:cs="Arial"/>
          <w:b/>
          <w:color w:val="000000"/>
          <w:sz w:val="24"/>
          <w:szCs w:val="24"/>
        </w:rPr>
        <w:t xml:space="preserve"> </w:t>
      </w:r>
      <w:r w:rsidR="005903A0">
        <w:rPr>
          <w:rFonts w:ascii="Century Gothic" w:hAnsi="Century Gothic" w:cs="Arial"/>
          <w:b/>
          <w:sz w:val="24"/>
          <w:szCs w:val="24"/>
        </w:rPr>
        <w:t>CARRERA 28 F N° 111 – 190 INTERIOR 179 - TEMPORAL</w:t>
      </w:r>
      <w:r>
        <w:rPr>
          <w:rFonts w:ascii="Century Gothic" w:hAnsi="Century Gothic" w:cs="Arial"/>
          <w:color w:val="000000"/>
          <w:sz w:val="24"/>
          <w:szCs w:val="24"/>
        </w:rPr>
        <w:t>, de esta ciudad, tal como lo establece el parágrafo 1º del Artículo 135  de la Ley 1801 de 2016. Así mismo, deberá apoyarse de personal idóneo para ello, evitando el daño a bienes colindantes, o a las personas; y</w:t>
      </w:r>
      <w:r>
        <w:rPr>
          <w:rFonts w:ascii="Century Gothic" w:hAnsi="Century Gothic" w:cs="Arial"/>
          <w:bCs/>
          <w:color w:val="000000"/>
          <w:sz w:val="24"/>
          <w:szCs w:val="24"/>
        </w:rPr>
        <w:t xml:space="preserve"> una vez lo haga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, deberá retirar de forma inmediata los </w:t>
      </w:r>
      <w:r>
        <w:rPr>
          <w:rFonts w:ascii="Century Gothic" w:hAnsi="Century Gothic" w:cs="Arial"/>
          <w:color w:val="000000"/>
          <w:sz w:val="24"/>
          <w:szCs w:val="24"/>
        </w:rPr>
        <w:lastRenderedPageBreak/>
        <w:t>escombros que se generen como consecuencia de la demolición.   Se le recomienda al solicitante acudir a SECRETARIA DE HACIENDA-SUBSECRETARIA DE CATASTRO, y radicar oficio solicitando la exoneración del pago del impuesto predial, a partir de la fecha de la recomendación de Evacuación definitiva del predio.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</w:pPr>
      <w:r>
        <w:rPr>
          <w:rFonts w:ascii="Century Gothic" w:hAnsi="Century Gothic" w:cs="Arial"/>
          <w:b/>
          <w:color w:val="000000"/>
          <w:sz w:val="24"/>
          <w:szCs w:val="24"/>
        </w:rPr>
        <w:t xml:space="preserve">ARTÍCULO TERCERO: </w:t>
      </w:r>
      <w:r w:rsidR="002C5144">
        <w:rPr>
          <w:rFonts w:ascii="Century Gothic" w:hAnsi="Century Gothic"/>
          <w:sz w:val="24"/>
          <w:szCs w:val="24"/>
        </w:rPr>
        <w:t xml:space="preserve">al señor </w:t>
      </w:r>
      <w:r w:rsidR="002C5144">
        <w:rPr>
          <w:rFonts w:ascii="Century Gothic" w:hAnsi="Century Gothic"/>
          <w:b/>
          <w:sz w:val="24"/>
          <w:szCs w:val="24"/>
        </w:rPr>
        <w:t xml:space="preserve">JOSE ALEXANDER CALPAVIRE RIOS </w:t>
      </w:r>
      <w:r w:rsidR="002C5144">
        <w:rPr>
          <w:rFonts w:ascii="Century Gothic" w:hAnsi="Century Gothic"/>
          <w:sz w:val="24"/>
          <w:szCs w:val="24"/>
        </w:rPr>
        <w:t>con cédula de ciudadanía N° NO CONOCIDA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 y a los señores propietarios de las viviendas ubicadas en </w:t>
      </w:r>
      <w:r w:rsidR="005903A0">
        <w:rPr>
          <w:rFonts w:ascii="Century Gothic" w:hAnsi="Century Gothic" w:cs="Arial"/>
          <w:b/>
          <w:sz w:val="24"/>
          <w:szCs w:val="24"/>
        </w:rPr>
        <w:t>CARRERA 28 F N° 111 – 190 INTERIOR 179 DE REFERENCIA – DEFINITIVA / CARRERA 28 F N° 111 – 190 INTERIOR 179 DE REFERENCIA - DEFINITIVA</w:t>
      </w:r>
      <w:r w:rsidR="005903A0">
        <w:rPr>
          <w:rFonts w:ascii="Century Gothic" w:hAnsi="Century Gothic" w:cs="Arial"/>
          <w:color w:val="000000"/>
          <w:sz w:val="24"/>
          <w:szCs w:val="24"/>
        </w:rPr>
        <w:t xml:space="preserve"> </w:t>
      </w:r>
      <w:r>
        <w:rPr>
          <w:rFonts w:ascii="Century Gothic" w:hAnsi="Century Gothic" w:cs="Arial"/>
          <w:color w:val="000000"/>
          <w:sz w:val="24"/>
          <w:szCs w:val="24"/>
        </w:rPr>
        <w:t>y demás personas indeterminadas</w:t>
      </w:r>
      <w:r>
        <w:rPr>
          <w:rFonts w:ascii="Century Gothic" w:hAnsi="Century Gothic" w:cs="Arial"/>
          <w:b/>
          <w:color w:val="000000"/>
          <w:sz w:val="24"/>
          <w:szCs w:val="24"/>
        </w:rPr>
        <w:t xml:space="preserve"> </w:t>
      </w:r>
      <w:r>
        <w:rPr>
          <w:rFonts w:ascii="Century Gothic" w:hAnsi="Century Gothic" w:cs="Arial"/>
          <w:color w:val="000000"/>
          <w:sz w:val="24"/>
          <w:szCs w:val="24"/>
        </w:rPr>
        <w:t>que habitan el inmueble, para que se abstengan de realizar a futuro cualquier tipo de construcción en el terreno sobre el cual se encontraba la vivienda ubicada en la</w:t>
      </w:r>
      <w:r>
        <w:rPr>
          <w:rFonts w:ascii="Century Gothic" w:hAnsi="Century Gothic" w:cs="Arial"/>
          <w:b/>
          <w:color w:val="000000"/>
          <w:sz w:val="24"/>
          <w:szCs w:val="24"/>
        </w:rPr>
        <w:t xml:space="preserve"> </w:t>
      </w:r>
      <w:r w:rsidR="005903A0">
        <w:rPr>
          <w:rFonts w:ascii="Century Gothic" w:hAnsi="Century Gothic" w:cs="Arial"/>
          <w:b/>
          <w:sz w:val="24"/>
          <w:szCs w:val="24"/>
        </w:rPr>
        <w:t>CARRERA 28 F N° 111 – 190 INTERIOR 179 - TEMPORAL / CARRERA 28 F N° 111 – 190 INTERIOR 179 DE REFERENCIA – DEFINITIVA / CARRERA 28 F N° 111 – 190 INTERIOR 179 DE REFERENCIA - DEFINITIVA</w:t>
      </w:r>
      <w:r w:rsidR="005903A0">
        <w:rPr>
          <w:rFonts w:ascii="Century Gothic" w:hAnsi="Century Gothic" w:cs="Arial"/>
          <w:color w:val="000000"/>
          <w:sz w:val="24"/>
          <w:szCs w:val="24"/>
        </w:rPr>
        <w:t xml:space="preserve">  </w:t>
      </w:r>
      <w:r>
        <w:rPr>
          <w:rFonts w:ascii="Century Gothic" w:hAnsi="Century Gothic" w:cs="Arial"/>
          <w:color w:val="000000"/>
          <w:sz w:val="24"/>
          <w:szCs w:val="24"/>
        </w:rPr>
        <w:t>y demás personas indeterminadas, de esta ciudad</w:t>
      </w:r>
      <w:r>
        <w:rPr>
          <w:rFonts w:ascii="Century Gothic" w:hAnsi="Century Gothic" w:cs="Arial"/>
          <w:b/>
          <w:color w:val="000000"/>
          <w:sz w:val="24"/>
          <w:szCs w:val="24"/>
        </w:rPr>
        <w:t xml:space="preserve">, 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 y que así mismo deberán evitar volver  a ocupar el predio objeto de evacuación definitiva dentro de </w:t>
      </w:r>
      <w:r w:rsidR="005B1A02">
        <w:rPr>
          <w:rFonts w:ascii="Century Gothic" w:hAnsi="Century Gothic" w:cs="Arial"/>
          <w:b/>
          <w:color w:val="000000"/>
          <w:sz w:val="24"/>
          <w:szCs w:val="24"/>
        </w:rPr>
        <w:t>LA FICHA DEL DAGRD Nro. 126751</w:t>
      </w:r>
      <w:r>
        <w:rPr>
          <w:rFonts w:ascii="Century Gothic" w:hAnsi="Century Gothic" w:cs="Arial"/>
          <w:b/>
          <w:color w:val="000000"/>
          <w:sz w:val="24"/>
          <w:szCs w:val="24"/>
        </w:rPr>
        <w:t xml:space="preserve"> del </w:t>
      </w:r>
      <w:r w:rsidR="005B1A02">
        <w:rPr>
          <w:rFonts w:ascii="Century Gothic" w:hAnsi="Century Gothic" w:cs="Arial"/>
          <w:b/>
          <w:color w:val="000000"/>
          <w:sz w:val="24"/>
          <w:szCs w:val="24"/>
        </w:rPr>
        <w:t>26 de juni</w:t>
      </w:r>
      <w:r>
        <w:rPr>
          <w:rFonts w:ascii="Century Gothic" w:hAnsi="Century Gothic" w:cs="Arial"/>
          <w:b/>
          <w:color w:val="000000"/>
          <w:sz w:val="24"/>
          <w:szCs w:val="24"/>
        </w:rPr>
        <w:t xml:space="preserve">o de 2025 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acatando las recomendaciones realizadas dentro de la misma. 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b/>
          <w:color w:val="000000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</w:pPr>
      <w:r>
        <w:rPr>
          <w:rFonts w:ascii="Century Gothic" w:hAnsi="Century Gothic" w:cs="Arial"/>
          <w:b/>
          <w:color w:val="000000"/>
          <w:sz w:val="24"/>
          <w:szCs w:val="24"/>
        </w:rPr>
        <w:t>ARTÍCULO CUARTO: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 </w:t>
      </w:r>
      <w:r>
        <w:rPr>
          <w:rFonts w:ascii="Century Gothic" w:hAnsi="Century Gothic" w:cs="Arial"/>
          <w:b/>
          <w:color w:val="000000"/>
          <w:sz w:val="24"/>
          <w:szCs w:val="24"/>
          <w:lang w:val="es-CO"/>
        </w:rPr>
        <w:t xml:space="preserve">ADVERTIR  </w:t>
      </w:r>
      <w:r w:rsidR="002C5144">
        <w:rPr>
          <w:rFonts w:ascii="Century Gothic" w:hAnsi="Century Gothic"/>
          <w:sz w:val="24"/>
          <w:szCs w:val="24"/>
        </w:rPr>
        <w:t xml:space="preserve">al señor </w:t>
      </w:r>
      <w:r w:rsidR="002C5144">
        <w:rPr>
          <w:rFonts w:ascii="Century Gothic" w:hAnsi="Century Gothic"/>
          <w:b/>
          <w:sz w:val="24"/>
          <w:szCs w:val="24"/>
        </w:rPr>
        <w:t xml:space="preserve">JOSE ALEXANDER CALPAVIRE RIOS </w:t>
      </w:r>
      <w:r w:rsidR="002C5144">
        <w:rPr>
          <w:rFonts w:ascii="Century Gothic" w:hAnsi="Century Gothic"/>
          <w:sz w:val="24"/>
          <w:szCs w:val="24"/>
        </w:rPr>
        <w:t>con cédula de ciudadanía N° NO CONOCIDA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 y a los señores propietarios de las viviendas ubicadas en </w:t>
      </w:r>
      <w:r w:rsidR="005903A0">
        <w:rPr>
          <w:rFonts w:ascii="Century Gothic" w:hAnsi="Century Gothic" w:cs="Arial"/>
          <w:b/>
          <w:sz w:val="24"/>
          <w:szCs w:val="24"/>
        </w:rPr>
        <w:t>CARRERA 28 F N° 111 – 190 INTERIOR 179 - TEMPORAL / CARRERA 28 F N° 111 – 190 INTERIOR 179 DE REFERENCIA – DEFINITIVA / CARRERA 28 F N° 111 – 190 INTERIOR 179 DE REFERENCIA - DEFINITIVA</w:t>
      </w:r>
      <w:r w:rsidR="005903A0">
        <w:rPr>
          <w:rFonts w:ascii="Century Gothic" w:hAnsi="Century Gothic" w:cs="Arial"/>
          <w:color w:val="000000"/>
          <w:sz w:val="24"/>
          <w:szCs w:val="24"/>
        </w:rPr>
        <w:t xml:space="preserve"> 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y demás personas indeterminadas,   </w:t>
      </w:r>
      <w:r>
        <w:rPr>
          <w:rFonts w:ascii="Century Gothic" w:hAnsi="Century Gothic" w:cs="Arial"/>
          <w:color w:val="000000"/>
          <w:sz w:val="24"/>
          <w:szCs w:val="24"/>
          <w:lang w:val="es-CO"/>
        </w:rPr>
        <w:t xml:space="preserve">que en caso de incumplir esta orden de policía, se dará aplicación al numeral segundo del artículo 35 del Código Nacional de Policía y Convivencia 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y demás personas indeterminadas,   que el incumplimiento de esta orden de policía, configura el </w:t>
      </w:r>
      <w:r>
        <w:rPr>
          <w:rFonts w:ascii="Century Gothic" w:hAnsi="Century Gothic" w:cs="Arial"/>
          <w:b/>
          <w:color w:val="000000"/>
          <w:sz w:val="24"/>
          <w:szCs w:val="24"/>
        </w:rPr>
        <w:t>tipo penal establecido para el fraude a resolución judicial o administrativa de policía establecido en el artículo 454 de la ley 599 de 2000.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 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</w:pPr>
      <w:r>
        <w:rPr>
          <w:rFonts w:ascii="Century Gothic" w:hAnsi="Century Gothic" w:cs="Arial"/>
          <w:b/>
          <w:color w:val="000000"/>
          <w:sz w:val="24"/>
          <w:szCs w:val="24"/>
        </w:rPr>
        <w:t>ARTÍCULO QUINTO: ADVERTIR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 que el Distrito de Medellín, no se hace responsable de los daños materiales o a la integridad física de las personas, que se puedan llegar a causar por desobedecimiento a la presente orden de policía.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color w:val="000000"/>
          <w:sz w:val="24"/>
          <w:szCs w:val="24"/>
        </w:rPr>
      </w:pPr>
      <w:r>
        <w:rPr>
          <w:rFonts w:ascii="Century Gothic" w:hAnsi="Century Gothic" w:cs="Arial"/>
          <w:color w:val="000000"/>
          <w:sz w:val="24"/>
          <w:szCs w:val="24"/>
        </w:rPr>
        <w:t xml:space="preserve">  </w:t>
      </w:r>
    </w:p>
    <w:p w:rsidR="004B0D33" w:rsidRDefault="004B0D33" w:rsidP="004B0D33">
      <w:pPr>
        <w:spacing w:after="0" w:line="240" w:lineRule="auto"/>
        <w:jc w:val="both"/>
      </w:pPr>
      <w:r>
        <w:rPr>
          <w:rFonts w:ascii="Century Gothic" w:hAnsi="Century Gothic" w:cs="Arial"/>
          <w:b/>
          <w:color w:val="000000"/>
          <w:sz w:val="24"/>
          <w:szCs w:val="24"/>
        </w:rPr>
        <w:t xml:space="preserve">ARTÍCULO SEXTO: ACLARAR </w:t>
      </w:r>
      <w:r>
        <w:rPr>
          <w:rFonts w:ascii="Century Gothic" w:hAnsi="Century Gothic" w:cs="Arial"/>
          <w:color w:val="000000"/>
          <w:sz w:val="24"/>
          <w:szCs w:val="24"/>
        </w:rPr>
        <w:t>que con esta medida se pretende</w:t>
      </w:r>
      <w:r>
        <w:rPr>
          <w:rFonts w:ascii="Century Gothic" w:hAnsi="Century Gothic" w:cs="Arial"/>
          <w:b/>
          <w:color w:val="000000"/>
          <w:sz w:val="24"/>
          <w:szCs w:val="24"/>
        </w:rPr>
        <w:t xml:space="preserve"> PREVENIR LA OCURRENCIA DE UNA CALAMIDAD 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que afecte la vida, los bienes u otros derechos fundamentales de los residentes del inmueble con orden de evacuación definitiva.  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b/>
          <w:color w:val="000000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</w:pPr>
      <w:r>
        <w:rPr>
          <w:rFonts w:ascii="Century Gothic" w:hAnsi="Century Gothic" w:cs="Arial"/>
          <w:b/>
          <w:color w:val="000000"/>
          <w:sz w:val="24"/>
          <w:szCs w:val="24"/>
        </w:rPr>
        <w:t xml:space="preserve">ARTÍCULO SEPTIMO: </w:t>
      </w:r>
      <w:r>
        <w:rPr>
          <w:rFonts w:ascii="Century Gothic" w:hAnsi="Century Gothic" w:cs="Arial"/>
          <w:color w:val="000000"/>
          <w:sz w:val="24"/>
          <w:szCs w:val="24"/>
        </w:rPr>
        <w:t>Contra la presente providencia no procede recurso alguno, por tratarse de una orden de inmediato cumplimiento.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b/>
          <w:color w:val="000000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</w:pPr>
      <w:r>
        <w:rPr>
          <w:rFonts w:ascii="Century Gothic" w:hAnsi="Century Gothic" w:cs="Arial"/>
          <w:b/>
          <w:color w:val="000000"/>
          <w:sz w:val="24"/>
          <w:szCs w:val="24"/>
        </w:rPr>
        <w:t>ARTÍCULO OCTAVO: NOTIFICAR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 </w:t>
      </w:r>
      <w:r w:rsidR="002C5144">
        <w:rPr>
          <w:rFonts w:ascii="Century Gothic" w:hAnsi="Century Gothic"/>
          <w:sz w:val="24"/>
          <w:szCs w:val="24"/>
        </w:rPr>
        <w:t xml:space="preserve">al señor </w:t>
      </w:r>
      <w:r w:rsidR="002C5144">
        <w:rPr>
          <w:rFonts w:ascii="Century Gothic" w:hAnsi="Century Gothic"/>
          <w:b/>
          <w:sz w:val="24"/>
          <w:szCs w:val="24"/>
        </w:rPr>
        <w:t xml:space="preserve">JOSE ALEXANDER CALPAVIRE RIOS </w:t>
      </w:r>
      <w:r w:rsidR="002C5144">
        <w:rPr>
          <w:rFonts w:ascii="Century Gothic" w:hAnsi="Century Gothic"/>
          <w:sz w:val="24"/>
          <w:szCs w:val="24"/>
        </w:rPr>
        <w:t>con cédula de ciudadanía N° NO CONOCIDA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 y a los señores propietarios de las viviendas ubicadas en </w:t>
      </w:r>
      <w:r w:rsidR="005903A0">
        <w:rPr>
          <w:rFonts w:ascii="Century Gothic" w:hAnsi="Century Gothic" w:cs="Arial"/>
          <w:b/>
          <w:sz w:val="24"/>
          <w:szCs w:val="24"/>
        </w:rPr>
        <w:t>CARRERA 28 F N° 111 – 190 INTERIOR 179 - TEMPORAL / CARRERA 28 F N° 111 – 190 INTERIOR 179 DE REFERENCIA – DEFINITIVA / CARRERA 28 F N° 111 – 190 INTERIOR 179 DE REFERENCIA - DEFINITIVA</w:t>
      </w:r>
      <w:r w:rsidR="005903A0">
        <w:rPr>
          <w:rFonts w:ascii="Century Gothic" w:hAnsi="Century Gothic" w:cs="Arial"/>
          <w:color w:val="000000"/>
          <w:sz w:val="24"/>
          <w:szCs w:val="24"/>
        </w:rPr>
        <w:t xml:space="preserve"> 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y demás personas indeterminadas,   del contenido de esta orden de policía. </w:t>
      </w:r>
      <w:r>
        <w:rPr>
          <w:rFonts w:ascii="Century Gothic" w:hAnsi="Century Gothic" w:cs="Arial"/>
          <w:b/>
          <w:i/>
          <w:color w:val="000000"/>
          <w:sz w:val="24"/>
          <w:szCs w:val="24"/>
          <w:u w:val="single"/>
        </w:rPr>
        <w:t xml:space="preserve">De no ser posible la notificación personal procédase a la notificación por AVISO.  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:rsidR="00C67589" w:rsidRDefault="00C67589" w:rsidP="004B0D33">
      <w:pPr>
        <w:spacing w:after="0" w:line="240" w:lineRule="auto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</w:pPr>
      <w:r>
        <w:rPr>
          <w:rFonts w:ascii="Century Gothic" w:hAnsi="Century Gothic" w:cs="Arial"/>
          <w:b/>
          <w:color w:val="000000"/>
          <w:sz w:val="24"/>
          <w:szCs w:val="24"/>
        </w:rPr>
        <w:t xml:space="preserve">ARTÍCULO NOVENO: </w:t>
      </w:r>
      <w:r>
        <w:rPr>
          <w:rFonts w:ascii="Century Gothic" w:hAnsi="Century Gothic" w:cs="Arial"/>
          <w:color w:val="000000"/>
          <w:sz w:val="24"/>
          <w:szCs w:val="24"/>
        </w:rPr>
        <w:t>Contra la presente providencia no procede recurso alguno.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Default="00C67589" w:rsidP="004B0D33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NOTIFÍQUESE Y CÚMPLASE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:rsidR="00C67589" w:rsidRDefault="00C67589" w:rsidP="004B0D33">
      <w:p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ILMA SONIA ESCALANTE HENAO </w:t>
      </w:r>
      <w:r>
        <w:rPr>
          <w:rFonts w:ascii="Century Gothic" w:hAnsi="Century Gothic" w:cs="Arial"/>
          <w:b/>
          <w:sz w:val="24"/>
          <w:szCs w:val="24"/>
        </w:rPr>
        <w:tab/>
        <w:t xml:space="preserve">   </w:t>
      </w:r>
      <w:r>
        <w:rPr>
          <w:rFonts w:ascii="Century Gothic" w:hAnsi="Century Gothic" w:cs="Arial"/>
          <w:b/>
          <w:sz w:val="24"/>
          <w:szCs w:val="24"/>
        </w:rPr>
        <w:tab/>
        <w:t>CATALINA RAIGOZA ORTIZ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Inspectora de Policía                </w:t>
      </w:r>
      <w:r>
        <w:rPr>
          <w:rFonts w:ascii="Century Gothic" w:hAnsi="Century Gothic" w:cs="Arial"/>
          <w:sz w:val="24"/>
          <w:szCs w:val="24"/>
        </w:rPr>
        <w:tab/>
        <w:t xml:space="preserve">  </w:t>
      </w:r>
      <w:r>
        <w:rPr>
          <w:rFonts w:ascii="Century Gothic" w:hAnsi="Century Gothic" w:cs="Arial"/>
          <w:sz w:val="24"/>
          <w:szCs w:val="24"/>
        </w:rPr>
        <w:tab/>
        <w:t xml:space="preserve">   </w:t>
      </w:r>
      <w:r>
        <w:rPr>
          <w:rFonts w:ascii="Century Gothic" w:hAnsi="Century Gothic" w:cs="Arial"/>
          <w:sz w:val="24"/>
          <w:szCs w:val="24"/>
        </w:rPr>
        <w:tab/>
        <w:t xml:space="preserve">Secretaria 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:rsidR="004B0D33" w:rsidRDefault="004B0D33" w:rsidP="004B0D33">
      <w:pPr>
        <w:jc w:val="both"/>
        <w:rPr>
          <w:rFonts w:ascii="Century Gothic" w:hAnsi="Century Gothic"/>
          <w:sz w:val="24"/>
          <w:szCs w:val="24"/>
        </w:rPr>
      </w:pPr>
    </w:p>
    <w:p w:rsidR="004B0D33" w:rsidRDefault="004B0D33" w:rsidP="004B0D33">
      <w:pPr>
        <w:jc w:val="both"/>
        <w:rPr>
          <w:rFonts w:ascii="Century Gothic" w:hAnsi="Century Gothic"/>
          <w:sz w:val="24"/>
          <w:szCs w:val="24"/>
        </w:rPr>
      </w:pPr>
    </w:p>
    <w:p w:rsidR="004B0D33" w:rsidRDefault="004B0D33" w:rsidP="004B0D33">
      <w:pPr>
        <w:jc w:val="both"/>
        <w:rPr>
          <w:rFonts w:ascii="Century Gothic" w:hAnsi="Century Gothic"/>
          <w:sz w:val="24"/>
          <w:szCs w:val="24"/>
        </w:rPr>
      </w:pPr>
    </w:p>
    <w:p w:rsidR="004B0D33" w:rsidRDefault="004B0D33" w:rsidP="004B0D33">
      <w:pPr>
        <w:jc w:val="both"/>
        <w:rPr>
          <w:rFonts w:ascii="Century Gothic" w:hAnsi="Century Gothic"/>
          <w:sz w:val="24"/>
          <w:szCs w:val="24"/>
        </w:rPr>
      </w:pPr>
    </w:p>
    <w:p w:rsidR="004B0D33" w:rsidRDefault="004B0D33" w:rsidP="004B0D33">
      <w:pPr>
        <w:jc w:val="both"/>
        <w:rPr>
          <w:rFonts w:ascii="Century Gothic" w:hAnsi="Century Gothic"/>
          <w:sz w:val="24"/>
          <w:szCs w:val="24"/>
        </w:rPr>
      </w:pPr>
    </w:p>
    <w:p w:rsidR="004B0D33" w:rsidRDefault="004B0D33" w:rsidP="004B0D33">
      <w:pPr>
        <w:jc w:val="both"/>
        <w:rPr>
          <w:rFonts w:ascii="Century Gothic" w:hAnsi="Century Gothic"/>
          <w:sz w:val="24"/>
          <w:szCs w:val="24"/>
        </w:rPr>
      </w:pPr>
    </w:p>
    <w:p w:rsidR="00552D04" w:rsidRDefault="00552D04" w:rsidP="004B0D33">
      <w:pPr>
        <w:jc w:val="both"/>
        <w:rPr>
          <w:rFonts w:ascii="Century Gothic" w:hAnsi="Century Gothic"/>
          <w:sz w:val="24"/>
          <w:szCs w:val="24"/>
        </w:rPr>
      </w:pPr>
      <w:bookmarkStart w:id="1" w:name="_GoBack"/>
      <w:bookmarkEnd w:id="1"/>
    </w:p>
    <w:p w:rsidR="00552D04" w:rsidRDefault="00552D04" w:rsidP="004B0D33">
      <w:pPr>
        <w:jc w:val="both"/>
        <w:rPr>
          <w:rFonts w:ascii="Century Gothic" w:hAnsi="Century Gothic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:rsidR="004B0D33" w:rsidRDefault="004B0D33" w:rsidP="004B0D33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DILIGENCIA DE NOTIFICACION: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Pr="00C469EC" w:rsidRDefault="004B0D33" w:rsidP="004B0D33">
      <w:pPr>
        <w:tabs>
          <w:tab w:val="left" w:pos="5910"/>
        </w:tabs>
        <w:autoSpaceDE w:val="0"/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En la fecha ___ de ____________ del __________, se realizó la notificación personal de la presente Orden Policía No. </w:t>
      </w:r>
      <w:r w:rsidR="000773D7">
        <w:rPr>
          <w:rFonts w:ascii="Century Gothic" w:hAnsi="Century Gothic" w:cs="Arial"/>
          <w:b/>
          <w:sz w:val="24"/>
          <w:szCs w:val="24"/>
        </w:rPr>
        <w:t>216</w:t>
      </w:r>
      <w:r>
        <w:rPr>
          <w:rFonts w:ascii="Century Gothic" w:hAnsi="Century Gothic" w:cs="Arial"/>
          <w:b/>
          <w:sz w:val="24"/>
          <w:szCs w:val="24"/>
        </w:rPr>
        <w:t>-2025</w:t>
      </w:r>
      <w:r w:rsidR="00C469EC">
        <w:rPr>
          <w:rFonts w:ascii="Century Gothic" w:hAnsi="Century Gothic" w:cs="Arial"/>
          <w:sz w:val="24"/>
          <w:szCs w:val="24"/>
        </w:rPr>
        <w:t xml:space="preserve"> del</w:t>
      </w:r>
      <w:r>
        <w:rPr>
          <w:rFonts w:ascii="Century Gothic" w:hAnsi="Century Gothic" w:cs="Arial"/>
          <w:sz w:val="24"/>
          <w:szCs w:val="24"/>
        </w:rPr>
        <w:t xml:space="preserve"> expediente Nro. </w:t>
      </w:r>
      <w:r w:rsidR="00E638BD">
        <w:rPr>
          <w:rFonts w:ascii="Century Gothic" w:hAnsi="Century Gothic" w:cs="Arial"/>
          <w:b/>
          <w:sz w:val="24"/>
          <w:szCs w:val="24"/>
        </w:rPr>
        <w:t>02-19943</w:t>
      </w:r>
      <w:r>
        <w:rPr>
          <w:rFonts w:ascii="Century Gothic" w:hAnsi="Century Gothic" w:cs="Arial"/>
          <w:b/>
          <w:sz w:val="24"/>
          <w:szCs w:val="24"/>
        </w:rPr>
        <w:t>-25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DC13E5">
        <w:rPr>
          <w:rFonts w:ascii="Century Gothic" w:hAnsi="Century Gothic"/>
          <w:sz w:val="24"/>
          <w:szCs w:val="24"/>
        </w:rPr>
        <w:t>a</w:t>
      </w:r>
      <w:r>
        <w:rPr>
          <w:rFonts w:ascii="Century Gothic" w:hAnsi="Century Gothic"/>
          <w:sz w:val="24"/>
          <w:szCs w:val="24"/>
        </w:rPr>
        <w:t>l</w:t>
      </w:r>
      <w:r w:rsidR="00DC13E5">
        <w:rPr>
          <w:rFonts w:ascii="Century Gothic" w:hAnsi="Century Gothic"/>
          <w:sz w:val="24"/>
          <w:szCs w:val="24"/>
        </w:rPr>
        <w:t xml:space="preserve"> señor</w:t>
      </w:r>
      <w:r>
        <w:rPr>
          <w:rFonts w:ascii="Century Gothic" w:hAnsi="Century Gothic"/>
          <w:sz w:val="24"/>
          <w:szCs w:val="24"/>
        </w:rPr>
        <w:t xml:space="preserve"> </w:t>
      </w:r>
      <w:r w:rsidR="002741A5">
        <w:rPr>
          <w:rFonts w:ascii="Century Gothic" w:hAnsi="Century Gothic"/>
          <w:b/>
          <w:sz w:val="24"/>
          <w:szCs w:val="24"/>
        </w:rPr>
        <w:t xml:space="preserve">JOSE ALEXANDER CALPAVIRE RIOS </w:t>
      </w:r>
      <w:r w:rsidR="002741A5">
        <w:rPr>
          <w:rFonts w:ascii="Century Gothic" w:hAnsi="Century Gothic"/>
          <w:sz w:val="24"/>
          <w:szCs w:val="24"/>
        </w:rPr>
        <w:t>con cédula d</w:t>
      </w:r>
      <w:r w:rsidR="00C469EC">
        <w:rPr>
          <w:rFonts w:ascii="Century Gothic" w:hAnsi="Century Gothic"/>
          <w:sz w:val="24"/>
          <w:szCs w:val="24"/>
        </w:rPr>
        <w:t xml:space="preserve">e ciudadanía N° NO CONOCIDA </w:t>
      </w:r>
      <w:r>
        <w:rPr>
          <w:rFonts w:ascii="Century Gothic" w:hAnsi="Century Gothic"/>
          <w:sz w:val="24"/>
          <w:szCs w:val="24"/>
        </w:rPr>
        <w:t xml:space="preserve">y a los señores propietarios de las viviendas ubicadas en </w:t>
      </w:r>
      <w:r w:rsidR="005903A0">
        <w:rPr>
          <w:rFonts w:ascii="Century Gothic" w:hAnsi="Century Gothic" w:cs="Arial"/>
          <w:b/>
          <w:sz w:val="24"/>
          <w:szCs w:val="24"/>
        </w:rPr>
        <w:t>CARRERA 28 F N° 111 – 190 INTERIOR 179 - TEMPORAL / CARRERA 28 F N° 111 – 190 INTERIOR 179 DE REFERENCIA – DEFINITIVA / CARRERA 28 F N° 111 – 190 INTERIOR 179 DE REFERENCIA - DEFINITIVA</w:t>
      </w:r>
      <w:r>
        <w:rPr>
          <w:rFonts w:ascii="Century Gothic" w:hAnsi="Century Gothic"/>
          <w:b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>de esta ciudad</w:t>
      </w:r>
      <w:r>
        <w:rPr>
          <w:rFonts w:ascii="Century Gothic" w:hAnsi="Century Gothic" w:cs="Arial"/>
          <w:b/>
          <w:sz w:val="24"/>
          <w:szCs w:val="24"/>
        </w:rPr>
        <w:t>,</w:t>
      </w:r>
      <w:r>
        <w:rPr>
          <w:rFonts w:ascii="Century Gothic" w:hAnsi="Century Gothic" w:cs="Arial"/>
          <w:color w:val="616160"/>
          <w:sz w:val="24"/>
          <w:szCs w:val="24"/>
        </w:rPr>
        <w:t xml:space="preserve"> </w:t>
      </w:r>
      <w:r>
        <w:rPr>
          <w:rFonts w:ascii="Century Gothic" w:hAnsi="Century Gothic" w:cs="Arial"/>
          <w:sz w:val="24"/>
          <w:szCs w:val="24"/>
        </w:rPr>
        <w:t>a quienes se procedió a entregar una copia de la misma.   Para constancia firman: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EL NOTIFICADO:</w:t>
      </w:r>
      <w:r>
        <w:rPr>
          <w:rFonts w:ascii="Century Gothic" w:hAnsi="Century Gothic" w:cs="Arial"/>
          <w:sz w:val="24"/>
          <w:szCs w:val="24"/>
        </w:rPr>
        <w:tab/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:rsidR="00A66993" w:rsidRDefault="00A66993" w:rsidP="004B0D33">
      <w:p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:rsidR="00A66993" w:rsidRDefault="00A6699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A66993" w:rsidRDefault="00A6699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Pr="00AF33F5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-----------------------------------------------------------</w:t>
      </w:r>
    </w:p>
    <w:p w:rsidR="004B0D33" w:rsidRPr="00AF33F5" w:rsidRDefault="004B0D33" w:rsidP="004B0D33">
      <w:pPr>
        <w:pStyle w:val="Sinespaciado"/>
        <w:jc w:val="both"/>
        <w:rPr>
          <w:b/>
        </w:rPr>
      </w:pPr>
      <w:r>
        <w:rPr>
          <w:rFonts w:ascii="Century Gothic" w:hAnsi="Century Gothic" w:cs="Arial"/>
          <w:b/>
          <w:sz w:val="24"/>
          <w:szCs w:val="24"/>
        </w:rPr>
        <w:t>PROPIETARIO DE LA VIVIENDA</w:t>
      </w:r>
    </w:p>
    <w:p w:rsidR="004B0D33" w:rsidRDefault="00A6699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CARRERA 28 F N° 111 – 190 INTERIOR 179 - TEMPORAL</w:t>
      </w: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A66993" w:rsidRDefault="00A6699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A66993" w:rsidRDefault="00A6699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Pr="00AF33F5" w:rsidRDefault="004B0D33" w:rsidP="004B0D3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-----------------------------------------------------------</w:t>
      </w:r>
    </w:p>
    <w:p w:rsidR="004B0D33" w:rsidRDefault="004B0D33" w:rsidP="004B0D33">
      <w:pPr>
        <w:spacing w:after="0" w:line="240" w:lineRule="auto"/>
        <w:jc w:val="both"/>
      </w:pPr>
      <w:r>
        <w:rPr>
          <w:rFonts w:ascii="Century Gothic" w:hAnsi="Century Gothic"/>
          <w:b/>
          <w:sz w:val="24"/>
          <w:szCs w:val="24"/>
        </w:rPr>
        <w:t>PROPIETARIO DE LA VIVIENDA</w:t>
      </w:r>
      <w:r w:rsidR="00DC13E5">
        <w:rPr>
          <w:rFonts w:ascii="Century Gothic" w:hAnsi="Century Gothic"/>
          <w:b/>
          <w:sz w:val="24"/>
          <w:szCs w:val="24"/>
        </w:rPr>
        <w:t xml:space="preserve"> </w:t>
      </w:r>
      <w:r w:rsidR="00DD69E9">
        <w:rPr>
          <w:rFonts w:ascii="Century Gothic" w:hAnsi="Century Gothic"/>
          <w:b/>
          <w:sz w:val="24"/>
          <w:szCs w:val="24"/>
        </w:rPr>
        <w:t>–</w:t>
      </w:r>
      <w:r w:rsidR="00DC13E5">
        <w:rPr>
          <w:rFonts w:ascii="Century Gothic" w:hAnsi="Century Gothic"/>
          <w:b/>
          <w:sz w:val="24"/>
          <w:szCs w:val="24"/>
        </w:rPr>
        <w:t xml:space="preserve"> ANDERSON</w:t>
      </w:r>
      <w:r w:rsidR="00DD69E9">
        <w:rPr>
          <w:rFonts w:ascii="Century Gothic" w:hAnsi="Century Gothic"/>
          <w:b/>
          <w:sz w:val="24"/>
          <w:szCs w:val="24"/>
        </w:rPr>
        <w:t xml:space="preserve"> CASTILLO Y MAHOLIS S. OSTEN</w:t>
      </w:r>
    </w:p>
    <w:p w:rsidR="004B0D33" w:rsidRDefault="00A66993" w:rsidP="004B0D33">
      <w:pPr>
        <w:pStyle w:val="Sinespaciad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CARRERA 28 F N° 111 – 190 INTERIOR 179 DE REFERENCIA – DEFINITIVA</w:t>
      </w:r>
    </w:p>
    <w:p w:rsidR="004B0D33" w:rsidRDefault="004B0D33" w:rsidP="004B0D33">
      <w:pPr>
        <w:pStyle w:val="Sinespaciado"/>
        <w:jc w:val="both"/>
        <w:rPr>
          <w:rFonts w:ascii="Century Gothic" w:hAnsi="Century Gothic" w:cs="Arial"/>
          <w:b/>
          <w:sz w:val="24"/>
          <w:szCs w:val="24"/>
        </w:rPr>
      </w:pPr>
    </w:p>
    <w:p w:rsidR="004B0D33" w:rsidRDefault="004B0D33" w:rsidP="004B0D33">
      <w:pPr>
        <w:pStyle w:val="Sinespaciado"/>
        <w:jc w:val="both"/>
        <w:rPr>
          <w:rFonts w:ascii="Century Gothic" w:hAnsi="Century Gothic" w:cs="Arial"/>
          <w:b/>
          <w:sz w:val="24"/>
          <w:szCs w:val="24"/>
        </w:rPr>
      </w:pPr>
    </w:p>
    <w:p w:rsidR="00A66993" w:rsidRDefault="00A66993" w:rsidP="004B0D33">
      <w:pPr>
        <w:pStyle w:val="Sinespaciado"/>
        <w:jc w:val="both"/>
        <w:rPr>
          <w:rFonts w:ascii="Century Gothic" w:hAnsi="Century Gothic" w:cs="Arial"/>
          <w:b/>
          <w:sz w:val="24"/>
          <w:szCs w:val="24"/>
        </w:rPr>
      </w:pPr>
    </w:p>
    <w:p w:rsidR="00A66993" w:rsidRDefault="00A66993" w:rsidP="004B0D33">
      <w:pPr>
        <w:pStyle w:val="Sinespaciado"/>
        <w:jc w:val="both"/>
        <w:rPr>
          <w:rFonts w:ascii="Century Gothic" w:hAnsi="Century Gothic" w:cs="Arial"/>
          <w:b/>
          <w:sz w:val="24"/>
          <w:szCs w:val="24"/>
        </w:rPr>
      </w:pPr>
    </w:p>
    <w:p w:rsidR="004B0D33" w:rsidRDefault="004B0D33" w:rsidP="004B0D33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:rsidR="004B0D33" w:rsidRPr="00AF33F5" w:rsidRDefault="004B0D33" w:rsidP="004B0D33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-----------------------------------------------------------</w:t>
      </w:r>
    </w:p>
    <w:p w:rsidR="004B0D33" w:rsidRDefault="004B0D33" w:rsidP="004B0D33">
      <w:pPr>
        <w:pStyle w:val="Sinespaciad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PROPIETARIO DE LA VIVIENDA</w:t>
      </w:r>
      <w:r w:rsidR="00DD69E9">
        <w:rPr>
          <w:rFonts w:ascii="Century Gothic" w:hAnsi="Century Gothic" w:cs="Arial"/>
          <w:b/>
          <w:sz w:val="24"/>
          <w:szCs w:val="24"/>
        </w:rPr>
        <w:t xml:space="preserve"> – JOSE ALEXANDER CALPAVIRE RIOS</w:t>
      </w:r>
    </w:p>
    <w:p w:rsidR="00A66993" w:rsidRDefault="00A66993" w:rsidP="00A6699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CARRERA 28 F N° 111 – 190 INTERIOR 179 DE REFERENCIA - DEFINITIVA</w:t>
      </w:r>
    </w:p>
    <w:p w:rsidR="00A66993" w:rsidRDefault="00A66993" w:rsidP="00A6699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4B0D33" w:rsidRDefault="004B0D33" w:rsidP="004B0D33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9235BB" w:rsidRPr="00552EFD" w:rsidRDefault="009235BB" w:rsidP="00691F66"/>
    <w:sectPr w:rsidR="009235BB" w:rsidRPr="00552EFD" w:rsidSect="00602F7D">
      <w:headerReference w:type="even" r:id="rId8"/>
      <w:headerReference w:type="default" r:id="rId9"/>
      <w:footerReference w:type="default" r:id="rId10"/>
      <w:pgSz w:w="12240" w:h="18720" w:code="14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B6A" w:rsidRPr="00552EFD" w:rsidRDefault="00F77B6A" w:rsidP="005838D1">
      <w:r w:rsidRPr="00552EFD">
        <w:separator/>
      </w:r>
    </w:p>
  </w:endnote>
  <w:endnote w:type="continuationSeparator" w:id="0">
    <w:p w:rsidR="00F77B6A" w:rsidRPr="00552EFD" w:rsidRDefault="00F77B6A" w:rsidP="005838D1">
      <w:r w:rsidRPr="00552EF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206" w:rsidRPr="00552EFD" w:rsidRDefault="00C02206" w:rsidP="005838D1">
    <w:pPr>
      <w:pStyle w:val="Piedepgina"/>
      <w:ind w:hanging="1350"/>
    </w:pPr>
    <w:r w:rsidRPr="00552EFD">
      <w:rPr>
        <w:noProof/>
        <w:lang w:eastAsia="es-CO"/>
      </w:rPr>
      <w:drawing>
        <wp:inline distT="0" distB="0" distL="0" distR="0" wp14:anchorId="5CE3B534" wp14:editId="26AB649C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B6A" w:rsidRPr="00552EFD" w:rsidRDefault="00F77B6A" w:rsidP="005838D1">
      <w:r w:rsidRPr="00552EFD">
        <w:separator/>
      </w:r>
    </w:p>
  </w:footnote>
  <w:footnote w:type="continuationSeparator" w:id="0">
    <w:p w:rsidR="00F77B6A" w:rsidRPr="00552EFD" w:rsidRDefault="00F77B6A" w:rsidP="005838D1">
      <w:r w:rsidRPr="00552EFD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206" w:rsidRPr="00552EFD" w:rsidRDefault="00C02206">
    <w:pPr>
      <w:pStyle w:val="Encabezado"/>
    </w:pPr>
    <w:r>
      <w:rPr>
        <w:lang w:eastAsia="es-CO"/>
      </w:rPr>
      <w:pict w14:anchorId="673F8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49" type="#_x0000_t75" alt="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206" w:rsidRPr="00552EFD" w:rsidRDefault="00C02206" w:rsidP="00617FF8">
    <w:pPr>
      <w:pStyle w:val="Encabezado"/>
      <w:tabs>
        <w:tab w:val="clear" w:pos="4320"/>
      </w:tabs>
      <w:ind w:firstLine="142"/>
      <w:jc w:val="center"/>
    </w:pPr>
    <w:r w:rsidRPr="00552EFD"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A50DC5E" wp14:editId="47C5164C">
          <wp:simplePos x="0" y="0"/>
          <wp:positionH relativeFrom="page">
            <wp:align>right</wp:align>
          </wp:positionH>
          <wp:positionV relativeFrom="paragraph">
            <wp:posOffset>-269875</wp:posOffset>
          </wp:positionV>
          <wp:extent cx="7768965" cy="11877675"/>
          <wp:effectExtent l="0" t="0" r="381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227" cy="11885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A6B39"/>
    <w:multiLevelType w:val="hybridMultilevel"/>
    <w:tmpl w:val="0FE87D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820AE"/>
    <w:multiLevelType w:val="hybridMultilevel"/>
    <w:tmpl w:val="641A97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040ED"/>
    <w:multiLevelType w:val="multilevel"/>
    <w:tmpl w:val="FC10A48C"/>
    <w:lvl w:ilvl="0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94548"/>
    <w:multiLevelType w:val="hybridMultilevel"/>
    <w:tmpl w:val="BA2CD1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13FE4"/>
    <w:multiLevelType w:val="hybridMultilevel"/>
    <w:tmpl w:val="847C305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C81048"/>
    <w:multiLevelType w:val="hybridMultilevel"/>
    <w:tmpl w:val="4A38BC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739C5"/>
    <w:multiLevelType w:val="hybridMultilevel"/>
    <w:tmpl w:val="FBCA06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B0FC3"/>
    <w:multiLevelType w:val="hybridMultilevel"/>
    <w:tmpl w:val="B25C0B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92152"/>
    <w:multiLevelType w:val="hybridMultilevel"/>
    <w:tmpl w:val="128001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3C5200"/>
    <w:multiLevelType w:val="hybridMultilevel"/>
    <w:tmpl w:val="AEC0A1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32FE3"/>
    <w:multiLevelType w:val="hybridMultilevel"/>
    <w:tmpl w:val="ACF00C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871B6E"/>
    <w:multiLevelType w:val="hybridMultilevel"/>
    <w:tmpl w:val="FF309E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5C4C23"/>
    <w:multiLevelType w:val="hybridMultilevel"/>
    <w:tmpl w:val="79D07F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8E60D7"/>
    <w:multiLevelType w:val="multilevel"/>
    <w:tmpl w:val="CDDCE8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EE56C3"/>
    <w:multiLevelType w:val="hybridMultilevel"/>
    <w:tmpl w:val="835CF5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87A61"/>
    <w:multiLevelType w:val="hybridMultilevel"/>
    <w:tmpl w:val="2C5AE8A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9774F9"/>
    <w:multiLevelType w:val="hybridMultilevel"/>
    <w:tmpl w:val="42229E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4C2D97"/>
    <w:multiLevelType w:val="hybridMultilevel"/>
    <w:tmpl w:val="17022A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8"/>
  </w:num>
  <w:num w:numId="4">
    <w:abstractNumId w:val="5"/>
  </w:num>
  <w:num w:numId="5">
    <w:abstractNumId w:val="12"/>
  </w:num>
  <w:num w:numId="6">
    <w:abstractNumId w:val="3"/>
  </w:num>
  <w:num w:numId="7">
    <w:abstractNumId w:val="17"/>
  </w:num>
  <w:num w:numId="8">
    <w:abstractNumId w:val="14"/>
  </w:num>
  <w:num w:numId="9">
    <w:abstractNumId w:val="9"/>
  </w:num>
  <w:num w:numId="10">
    <w:abstractNumId w:val="11"/>
  </w:num>
  <w:num w:numId="11">
    <w:abstractNumId w:val="0"/>
  </w:num>
  <w:num w:numId="12">
    <w:abstractNumId w:val="10"/>
  </w:num>
  <w:num w:numId="13">
    <w:abstractNumId w:val="7"/>
  </w:num>
  <w:num w:numId="14">
    <w:abstractNumId w:val="4"/>
  </w:num>
  <w:num w:numId="15">
    <w:abstractNumId w:val="6"/>
  </w:num>
  <w:num w:numId="16">
    <w:abstractNumId w:val="16"/>
  </w:num>
  <w:num w:numId="17">
    <w:abstractNumId w:val="1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D33"/>
    <w:rsid w:val="00012ADC"/>
    <w:rsid w:val="000773D7"/>
    <w:rsid w:val="0008298D"/>
    <w:rsid w:val="00092423"/>
    <w:rsid w:val="000B73B3"/>
    <w:rsid w:val="000C7EF4"/>
    <w:rsid w:val="000E14EE"/>
    <w:rsid w:val="00107C99"/>
    <w:rsid w:val="00134AF8"/>
    <w:rsid w:val="00152CB4"/>
    <w:rsid w:val="001652C3"/>
    <w:rsid w:val="00177A08"/>
    <w:rsid w:val="00190056"/>
    <w:rsid w:val="001B2A34"/>
    <w:rsid w:val="001C4696"/>
    <w:rsid w:val="001D28B3"/>
    <w:rsid w:val="001E0403"/>
    <w:rsid w:val="001E22B4"/>
    <w:rsid w:val="00202D86"/>
    <w:rsid w:val="00215389"/>
    <w:rsid w:val="002417BA"/>
    <w:rsid w:val="002741A5"/>
    <w:rsid w:val="002818C5"/>
    <w:rsid w:val="00285E5C"/>
    <w:rsid w:val="002C5144"/>
    <w:rsid w:val="002C5EA6"/>
    <w:rsid w:val="002F2EDA"/>
    <w:rsid w:val="002F335C"/>
    <w:rsid w:val="002F506E"/>
    <w:rsid w:val="00302A6D"/>
    <w:rsid w:val="00315A4B"/>
    <w:rsid w:val="00316FCE"/>
    <w:rsid w:val="00326FF8"/>
    <w:rsid w:val="00340C9F"/>
    <w:rsid w:val="00372114"/>
    <w:rsid w:val="00373D23"/>
    <w:rsid w:val="00385A20"/>
    <w:rsid w:val="003A29C3"/>
    <w:rsid w:val="003A40E6"/>
    <w:rsid w:val="003A4FCA"/>
    <w:rsid w:val="003A749B"/>
    <w:rsid w:val="003B27C5"/>
    <w:rsid w:val="004468C5"/>
    <w:rsid w:val="00482B31"/>
    <w:rsid w:val="00492CD3"/>
    <w:rsid w:val="004B0D33"/>
    <w:rsid w:val="004B6767"/>
    <w:rsid w:val="004D70C6"/>
    <w:rsid w:val="004F4F2B"/>
    <w:rsid w:val="00507D7D"/>
    <w:rsid w:val="005102B0"/>
    <w:rsid w:val="00547D3D"/>
    <w:rsid w:val="00552D04"/>
    <w:rsid w:val="00552EFD"/>
    <w:rsid w:val="00556A6F"/>
    <w:rsid w:val="005642FD"/>
    <w:rsid w:val="005838D1"/>
    <w:rsid w:val="005903A0"/>
    <w:rsid w:val="005B1A02"/>
    <w:rsid w:val="005C255B"/>
    <w:rsid w:val="005E0385"/>
    <w:rsid w:val="005E52CC"/>
    <w:rsid w:val="00602F7D"/>
    <w:rsid w:val="00615903"/>
    <w:rsid w:val="00617FF8"/>
    <w:rsid w:val="00672895"/>
    <w:rsid w:val="00691F66"/>
    <w:rsid w:val="006B1D7E"/>
    <w:rsid w:val="006D1EBA"/>
    <w:rsid w:val="006D4F3C"/>
    <w:rsid w:val="00700D10"/>
    <w:rsid w:val="00725837"/>
    <w:rsid w:val="00731FB4"/>
    <w:rsid w:val="00741F31"/>
    <w:rsid w:val="007471BF"/>
    <w:rsid w:val="00764C75"/>
    <w:rsid w:val="00822B69"/>
    <w:rsid w:val="00892968"/>
    <w:rsid w:val="0089701C"/>
    <w:rsid w:val="008A3F26"/>
    <w:rsid w:val="008B1778"/>
    <w:rsid w:val="009235BB"/>
    <w:rsid w:val="0094110F"/>
    <w:rsid w:val="00944574"/>
    <w:rsid w:val="0096725A"/>
    <w:rsid w:val="009865EE"/>
    <w:rsid w:val="009A11C8"/>
    <w:rsid w:val="009A5C2E"/>
    <w:rsid w:val="009D5592"/>
    <w:rsid w:val="00A029D3"/>
    <w:rsid w:val="00A059E6"/>
    <w:rsid w:val="00A4046E"/>
    <w:rsid w:val="00A42294"/>
    <w:rsid w:val="00A576E9"/>
    <w:rsid w:val="00A63BF1"/>
    <w:rsid w:val="00A66993"/>
    <w:rsid w:val="00A94F2F"/>
    <w:rsid w:val="00AA5773"/>
    <w:rsid w:val="00AA61BA"/>
    <w:rsid w:val="00AF445E"/>
    <w:rsid w:val="00B51678"/>
    <w:rsid w:val="00B71840"/>
    <w:rsid w:val="00B95041"/>
    <w:rsid w:val="00BA2F3A"/>
    <w:rsid w:val="00BA484D"/>
    <w:rsid w:val="00BC1D43"/>
    <w:rsid w:val="00BD3083"/>
    <w:rsid w:val="00BE09E7"/>
    <w:rsid w:val="00C02206"/>
    <w:rsid w:val="00C03F12"/>
    <w:rsid w:val="00C05E9B"/>
    <w:rsid w:val="00C14F48"/>
    <w:rsid w:val="00C450BE"/>
    <w:rsid w:val="00C469EC"/>
    <w:rsid w:val="00C5269E"/>
    <w:rsid w:val="00C67589"/>
    <w:rsid w:val="00C871E0"/>
    <w:rsid w:val="00CD53CE"/>
    <w:rsid w:val="00CF1DF2"/>
    <w:rsid w:val="00D02DF1"/>
    <w:rsid w:val="00D15749"/>
    <w:rsid w:val="00DB6103"/>
    <w:rsid w:val="00DC13E5"/>
    <w:rsid w:val="00DC5F34"/>
    <w:rsid w:val="00DD540A"/>
    <w:rsid w:val="00DD69E9"/>
    <w:rsid w:val="00E14F86"/>
    <w:rsid w:val="00E638BD"/>
    <w:rsid w:val="00E72853"/>
    <w:rsid w:val="00E747EE"/>
    <w:rsid w:val="00E8253B"/>
    <w:rsid w:val="00E8389B"/>
    <w:rsid w:val="00E9021F"/>
    <w:rsid w:val="00E90EFB"/>
    <w:rsid w:val="00ED4D82"/>
    <w:rsid w:val="00F6474B"/>
    <w:rsid w:val="00F77B6A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2C0C33A"/>
  <w15:chartTrackingRefBased/>
  <w15:docId w15:val="{CB328DC7-188E-49DD-9329-AC2199766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B0D33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sz w:val="22"/>
      <w:szCs w:val="22"/>
      <w:lang w:val="es-ES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paragraph" w:styleId="Sinespaciado">
    <w:name w:val="No Spacing"/>
    <w:rsid w:val="004B0D33"/>
    <w:pPr>
      <w:suppressAutoHyphens/>
      <w:autoSpaceDN w:val="0"/>
      <w:textAlignment w:val="baseline"/>
    </w:pPr>
    <w:rPr>
      <w:rFonts w:ascii="Calibri" w:eastAsia="Calibri" w:hAnsi="Calibri" w:cs="Times New Roman"/>
      <w:sz w:val="22"/>
      <w:szCs w:val="22"/>
      <w:lang w:val="es-ES"/>
    </w:rPr>
  </w:style>
  <w:style w:type="paragraph" w:styleId="Prrafodelista">
    <w:name w:val="List Paragraph"/>
    <w:basedOn w:val="Normal"/>
    <w:rsid w:val="004B0D33"/>
    <w:pPr>
      <w:ind w:left="720"/>
    </w:pPr>
  </w:style>
  <w:style w:type="character" w:styleId="Hipervnculo">
    <w:name w:val="Hyperlink"/>
    <w:basedOn w:val="Fuentedeprrafopredeter"/>
    <w:rsid w:val="004B0D3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A38B9-592F-441A-9691-3EC9DD937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23</Pages>
  <Words>6985</Words>
  <Characters>38418</Characters>
  <Application>Microsoft Office Word</Application>
  <DocSecurity>0</DocSecurity>
  <Lines>320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Raigoza Ortiz</dc:creator>
  <cp:keywords/>
  <dc:description/>
  <cp:lastModifiedBy>Catalina Raigoza Ortiz</cp:lastModifiedBy>
  <cp:revision>41</cp:revision>
  <cp:lastPrinted>2018-03-21T15:57:00Z</cp:lastPrinted>
  <dcterms:created xsi:type="dcterms:W3CDTF">2025-08-19T13:25:00Z</dcterms:created>
  <dcterms:modified xsi:type="dcterms:W3CDTF">2025-08-19T19:01:00Z</dcterms:modified>
</cp:coreProperties>
</file>