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CEF5" w14:textId="77777777" w:rsidR="00825D4D" w:rsidRPr="0081375C" w:rsidRDefault="00806784" w:rsidP="003F6B53">
      <w:pPr>
        <w:spacing w:line="23" w:lineRule="atLeast"/>
        <w:jc w:val="both"/>
        <w:rPr>
          <w:rFonts w:ascii="Arial" w:hAnsi="Arial" w:cs="Arial"/>
          <w:color w:val="000000" w:themeColor="text1"/>
          <w:sz w:val="88"/>
          <w:szCs w:val="88"/>
          <w:lang w:eastAsia="en-US"/>
        </w:rPr>
      </w:pPr>
      <w:r w:rsidRPr="0081375C">
        <w:rPr>
          <w:rFonts w:ascii="Arial" w:hAnsi="Arial" w:cs="Arial"/>
          <w:color w:val="000000" w:themeColor="text1"/>
          <w:sz w:val="88"/>
          <w:szCs w:val="88"/>
          <w:lang w:eastAsia="en-US"/>
        </w:rPr>
        <w:t>Guía Metodológica</w:t>
      </w:r>
    </w:p>
    <w:p w14:paraId="53C75DED" w14:textId="77777777" w:rsidR="00825D4D" w:rsidRPr="0081375C" w:rsidRDefault="00825D4D" w:rsidP="003F6B53">
      <w:pPr>
        <w:spacing w:line="23" w:lineRule="atLeast"/>
        <w:jc w:val="both"/>
        <w:rPr>
          <w:rFonts w:ascii="Arial" w:hAnsi="Arial" w:cs="Arial"/>
          <w:color w:val="000000" w:themeColor="text1"/>
          <w:sz w:val="88"/>
          <w:szCs w:val="88"/>
          <w:lang w:eastAsia="en-US"/>
        </w:rPr>
      </w:pPr>
    </w:p>
    <w:p w14:paraId="226B2D88" w14:textId="624F9875" w:rsidR="00825D4D" w:rsidRPr="0081375C" w:rsidRDefault="00806784" w:rsidP="003F6B53">
      <w:pPr>
        <w:spacing w:line="23" w:lineRule="atLeast"/>
        <w:jc w:val="both"/>
        <w:rPr>
          <w:rFonts w:ascii="Arial" w:eastAsia="Times New Roman" w:hAnsi="Arial" w:cs="Arial"/>
          <w:b/>
          <w:bCs/>
          <w:color w:val="000000" w:themeColor="text1"/>
          <w:sz w:val="24"/>
          <w:szCs w:val="24"/>
        </w:rPr>
      </w:pPr>
      <w:r w:rsidRPr="0081375C">
        <w:rPr>
          <w:rFonts w:ascii="Arial" w:hAnsi="Arial" w:cs="Arial"/>
          <w:b/>
          <w:bCs/>
          <w:color w:val="000000" w:themeColor="text1"/>
          <w:sz w:val="32"/>
          <w:szCs w:val="32"/>
          <w:lang w:eastAsia="en-US"/>
        </w:rPr>
        <w:t>para la Implementación, Ejecución y Seguimiento del Esquema de Pago por Servicios Ambientales (PSA) en el Distrito Especial de Ciencia Tecnología e Innovación de Medellín</w:t>
      </w:r>
      <w:r w:rsidR="008747C7" w:rsidRPr="0081375C">
        <w:rPr>
          <w:rFonts w:ascii="Arial" w:hAnsi="Arial" w:cs="Arial"/>
          <w:b/>
          <w:bCs/>
          <w:color w:val="000000" w:themeColor="text1"/>
          <w:sz w:val="32"/>
          <w:szCs w:val="32"/>
          <w:lang w:eastAsia="en-US"/>
        </w:rPr>
        <w:t>.</w:t>
      </w:r>
    </w:p>
    <w:p w14:paraId="04BE8B7C" w14:textId="77777777" w:rsidR="00825D4D" w:rsidRPr="0081375C" w:rsidRDefault="00825D4D" w:rsidP="003F6B53">
      <w:pPr>
        <w:spacing w:line="23" w:lineRule="atLeast"/>
        <w:jc w:val="both"/>
        <w:rPr>
          <w:rFonts w:ascii="Arial" w:eastAsia="Times New Roman" w:hAnsi="Arial" w:cs="Arial"/>
          <w:b/>
          <w:bCs/>
          <w:color w:val="000000" w:themeColor="text1"/>
          <w:sz w:val="24"/>
          <w:szCs w:val="24"/>
        </w:rPr>
      </w:pPr>
    </w:p>
    <w:p w14:paraId="1CF9B5B1" w14:textId="77777777" w:rsidR="00825D4D" w:rsidRPr="0081375C" w:rsidRDefault="00825D4D" w:rsidP="003F6B53">
      <w:pPr>
        <w:spacing w:line="23" w:lineRule="atLeast"/>
        <w:jc w:val="both"/>
        <w:rPr>
          <w:rFonts w:ascii="Arial" w:eastAsia="Times New Roman" w:hAnsi="Arial" w:cs="Arial"/>
          <w:b/>
          <w:bCs/>
          <w:color w:val="000000" w:themeColor="text1"/>
          <w:sz w:val="24"/>
          <w:szCs w:val="24"/>
        </w:rPr>
      </w:pPr>
    </w:p>
    <w:p w14:paraId="32BC1022" w14:textId="77777777" w:rsidR="00825D4D" w:rsidRPr="0081375C" w:rsidRDefault="00806784" w:rsidP="003F6B53">
      <w:pPr>
        <w:spacing w:line="23" w:lineRule="atLeast"/>
        <w:jc w:val="both"/>
        <w:rPr>
          <w:rFonts w:ascii="Arial" w:eastAsia="Times New Roman" w:hAnsi="Arial" w:cs="Arial"/>
          <w:b/>
          <w:bCs/>
          <w:color w:val="000000" w:themeColor="text1"/>
          <w:sz w:val="24"/>
          <w:szCs w:val="24"/>
        </w:rPr>
      </w:pPr>
      <w:r w:rsidRPr="0081375C">
        <w:rPr>
          <w:rFonts w:ascii="Arial" w:hAnsi="Arial" w:cs="Arial"/>
          <w:color w:val="000000" w:themeColor="text1"/>
        </w:rPr>
        <w:br w:type="page"/>
      </w:r>
    </w:p>
    <w:p w14:paraId="356E40F6" w14:textId="69A5892A" w:rsidR="00825D4D" w:rsidRPr="0081375C" w:rsidRDefault="00806784" w:rsidP="003F6B53">
      <w:pPr>
        <w:pStyle w:val="TDC1"/>
        <w:spacing w:before="0" w:after="0" w:line="23" w:lineRule="atLeast"/>
        <w:jc w:val="both"/>
        <w:rPr>
          <w:color w:val="000000" w:themeColor="text1"/>
        </w:rPr>
      </w:pPr>
      <w:r w:rsidRPr="0081375C">
        <w:rPr>
          <w:color w:val="000000" w:themeColor="text1"/>
        </w:rPr>
        <w:lastRenderedPageBreak/>
        <w:t>TABLA DE CONTENIDO</w:t>
      </w:r>
    </w:p>
    <w:sdt>
      <w:sdtPr>
        <w:rPr>
          <w:b w:val="0"/>
          <w:bCs w:val="0"/>
          <w:color w:val="000000" w:themeColor="text1"/>
        </w:rPr>
        <w:id w:val="449059880"/>
        <w:docPartObj>
          <w:docPartGallery w:val="Table of Contents"/>
          <w:docPartUnique/>
        </w:docPartObj>
      </w:sdtPr>
      <w:sdtEndPr/>
      <w:sdtContent>
        <w:p w14:paraId="66EA2631" w14:textId="69A94700" w:rsidR="00B9105C" w:rsidRPr="0081375C" w:rsidRDefault="002374D8">
          <w:pPr>
            <w:pStyle w:val="TDC1"/>
            <w:rPr>
              <w:rFonts w:asciiTheme="minorHAnsi" w:eastAsiaTheme="minorEastAsia" w:hAnsiTheme="minorHAnsi" w:cstheme="minorBidi"/>
              <w:b w:val="0"/>
              <w:bCs w:val="0"/>
              <w:color w:val="auto"/>
              <w:kern w:val="2"/>
              <w:sz w:val="24"/>
              <w:szCs w:val="24"/>
              <w14:ligatures w14:val="standardContextual"/>
            </w:rPr>
          </w:pPr>
          <w:r w:rsidRPr="0081375C">
            <w:fldChar w:fldCharType="begin"/>
          </w:r>
          <w:r w:rsidRPr="0081375C">
            <w:rPr>
              <w:rStyle w:val="IndexLink"/>
              <w:rFonts w:eastAsia="Times New Roman"/>
              <w:webHidden/>
              <w:color w:val="000000" w:themeColor="text1"/>
            </w:rPr>
            <w:instrText xml:space="preserve"> TOC \z \o "1-6" \u \h</w:instrText>
          </w:r>
          <w:r w:rsidRPr="0081375C">
            <w:rPr>
              <w:rStyle w:val="IndexLink"/>
              <w:rFonts w:eastAsia="Times New Roman"/>
              <w:color w:val="000000" w:themeColor="text1"/>
            </w:rPr>
            <w:fldChar w:fldCharType="separate"/>
          </w:r>
          <w:hyperlink w:anchor="_Toc233304160" w:history="1">
            <w:r w:rsidR="00B9105C" w:rsidRPr="0081375C">
              <w:rPr>
                <w:rStyle w:val="Hipervnculo"/>
                <w:rFonts w:eastAsia="Times New Roman"/>
              </w:rPr>
              <w:t>DEFINICIONES</w:t>
            </w:r>
            <w:r w:rsidR="00B9105C" w:rsidRPr="0081375C">
              <w:rPr>
                <w:webHidden/>
              </w:rPr>
              <w:tab/>
            </w:r>
            <w:r w:rsidR="00B9105C" w:rsidRPr="0081375C">
              <w:rPr>
                <w:webHidden/>
              </w:rPr>
              <w:fldChar w:fldCharType="begin"/>
            </w:r>
            <w:r w:rsidR="00B9105C" w:rsidRPr="0081375C">
              <w:rPr>
                <w:webHidden/>
              </w:rPr>
              <w:instrText xml:space="preserve"> PAGEREF _Toc233304160 \h </w:instrText>
            </w:r>
            <w:r w:rsidR="00B9105C" w:rsidRPr="0081375C">
              <w:rPr>
                <w:webHidden/>
              </w:rPr>
            </w:r>
            <w:r w:rsidR="00B9105C" w:rsidRPr="0081375C">
              <w:rPr>
                <w:webHidden/>
              </w:rPr>
              <w:fldChar w:fldCharType="separate"/>
            </w:r>
            <w:r w:rsidR="00B9105C" w:rsidRPr="0081375C">
              <w:rPr>
                <w:webHidden/>
              </w:rPr>
              <w:t>9</w:t>
            </w:r>
            <w:r w:rsidR="00B9105C" w:rsidRPr="0081375C">
              <w:rPr>
                <w:webHidden/>
              </w:rPr>
              <w:fldChar w:fldCharType="end"/>
            </w:r>
          </w:hyperlink>
        </w:p>
        <w:p w14:paraId="3FC801AA" w14:textId="44B4207A" w:rsidR="00B9105C" w:rsidRPr="0081375C" w:rsidRDefault="00B9105C">
          <w:pPr>
            <w:pStyle w:val="TDC1"/>
            <w:rPr>
              <w:rFonts w:asciiTheme="minorHAnsi" w:eastAsiaTheme="minorEastAsia" w:hAnsiTheme="minorHAnsi" w:cstheme="minorBidi"/>
              <w:b w:val="0"/>
              <w:bCs w:val="0"/>
              <w:color w:val="auto"/>
              <w:kern w:val="2"/>
              <w:sz w:val="24"/>
              <w:szCs w:val="24"/>
              <w14:ligatures w14:val="standardContextual"/>
            </w:rPr>
          </w:pPr>
          <w:hyperlink w:anchor="_Toc233304161" w:history="1">
            <w:r w:rsidRPr="0081375C">
              <w:rPr>
                <w:rStyle w:val="Hipervnculo"/>
                <w:rFonts w:eastAsia="Aptos"/>
              </w:rPr>
              <w:t>1. Arquitectura del documento</w:t>
            </w:r>
            <w:r w:rsidRPr="0081375C">
              <w:rPr>
                <w:webHidden/>
              </w:rPr>
              <w:tab/>
            </w:r>
            <w:r w:rsidRPr="0081375C">
              <w:rPr>
                <w:webHidden/>
              </w:rPr>
              <w:fldChar w:fldCharType="begin"/>
            </w:r>
            <w:r w:rsidRPr="0081375C">
              <w:rPr>
                <w:webHidden/>
              </w:rPr>
              <w:instrText xml:space="preserve"> PAGEREF _Toc233304161 \h </w:instrText>
            </w:r>
            <w:r w:rsidRPr="0081375C">
              <w:rPr>
                <w:webHidden/>
              </w:rPr>
            </w:r>
            <w:r w:rsidRPr="0081375C">
              <w:rPr>
                <w:webHidden/>
              </w:rPr>
              <w:fldChar w:fldCharType="separate"/>
            </w:r>
            <w:r w:rsidRPr="0081375C">
              <w:rPr>
                <w:webHidden/>
              </w:rPr>
              <w:t>14</w:t>
            </w:r>
            <w:r w:rsidRPr="0081375C">
              <w:rPr>
                <w:webHidden/>
              </w:rPr>
              <w:fldChar w:fldCharType="end"/>
            </w:r>
          </w:hyperlink>
        </w:p>
        <w:p w14:paraId="76F4A4C1" w14:textId="61E2EBE9" w:rsidR="00B9105C" w:rsidRPr="0081375C" w:rsidRDefault="00B9105C">
          <w:pPr>
            <w:pStyle w:val="TDC1"/>
            <w:rPr>
              <w:rFonts w:asciiTheme="minorHAnsi" w:eastAsiaTheme="minorEastAsia" w:hAnsiTheme="minorHAnsi" w:cstheme="minorBidi"/>
              <w:b w:val="0"/>
              <w:bCs w:val="0"/>
              <w:color w:val="auto"/>
              <w:kern w:val="2"/>
              <w:sz w:val="24"/>
              <w:szCs w:val="24"/>
              <w14:ligatures w14:val="standardContextual"/>
            </w:rPr>
          </w:pPr>
          <w:hyperlink w:anchor="_Toc233304162" w:history="1">
            <w:r w:rsidRPr="0081375C">
              <w:rPr>
                <w:rStyle w:val="Hipervnculo"/>
                <w:rFonts w:eastAsia="Aptos"/>
              </w:rPr>
              <w:t>2. Contexto normativo</w:t>
            </w:r>
            <w:r w:rsidRPr="0081375C">
              <w:rPr>
                <w:webHidden/>
              </w:rPr>
              <w:tab/>
            </w:r>
            <w:r w:rsidRPr="0081375C">
              <w:rPr>
                <w:webHidden/>
              </w:rPr>
              <w:fldChar w:fldCharType="begin"/>
            </w:r>
            <w:r w:rsidRPr="0081375C">
              <w:rPr>
                <w:webHidden/>
              </w:rPr>
              <w:instrText xml:space="preserve"> PAGEREF _Toc233304162 \h </w:instrText>
            </w:r>
            <w:r w:rsidRPr="0081375C">
              <w:rPr>
                <w:webHidden/>
              </w:rPr>
            </w:r>
            <w:r w:rsidRPr="0081375C">
              <w:rPr>
                <w:webHidden/>
              </w:rPr>
              <w:fldChar w:fldCharType="separate"/>
            </w:r>
            <w:r w:rsidRPr="0081375C">
              <w:rPr>
                <w:webHidden/>
              </w:rPr>
              <w:t>16</w:t>
            </w:r>
            <w:r w:rsidRPr="0081375C">
              <w:rPr>
                <w:webHidden/>
              </w:rPr>
              <w:fldChar w:fldCharType="end"/>
            </w:r>
          </w:hyperlink>
        </w:p>
        <w:p w14:paraId="226183B1" w14:textId="4AED55B3" w:rsidR="00B9105C" w:rsidRPr="0081375C" w:rsidRDefault="00B9105C">
          <w:pPr>
            <w:pStyle w:val="TDC2"/>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63" w:history="1">
            <w:r w:rsidRPr="0081375C">
              <w:rPr>
                <w:rStyle w:val="Hipervnculo"/>
                <w:rFonts w:eastAsia="Aptos"/>
                <w:bCs/>
              </w:rPr>
              <w:t>2.1. Evolución Institucional y Contexto Nacional</w:t>
            </w:r>
            <w:r w:rsidRPr="0081375C">
              <w:rPr>
                <w:webHidden/>
              </w:rPr>
              <w:tab/>
            </w:r>
            <w:r w:rsidRPr="0081375C">
              <w:rPr>
                <w:webHidden/>
              </w:rPr>
              <w:fldChar w:fldCharType="begin"/>
            </w:r>
            <w:r w:rsidRPr="0081375C">
              <w:rPr>
                <w:webHidden/>
              </w:rPr>
              <w:instrText xml:space="preserve"> PAGEREF _Toc233304163 \h </w:instrText>
            </w:r>
            <w:r w:rsidRPr="0081375C">
              <w:rPr>
                <w:webHidden/>
              </w:rPr>
            </w:r>
            <w:r w:rsidRPr="0081375C">
              <w:rPr>
                <w:webHidden/>
              </w:rPr>
              <w:fldChar w:fldCharType="separate"/>
            </w:r>
            <w:r w:rsidRPr="0081375C">
              <w:rPr>
                <w:webHidden/>
              </w:rPr>
              <w:t>16</w:t>
            </w:r>
            <w:r w:rsidRPr="0081375C">
              <w:rPr>
                <w:webHidden/>
              </w:rPr>
              <w:fldChar w:fldCharType="end"/>
            </w:r>
          </w:hyperlink>
        </w:p>
        <w:p w14:paraId="1205CF48" w14:textId="551B3998" w:rsidR="00B9105C" w:rsidRPr="0081375C" w:rsidRDefault="00B9105C">
          <w:pPr>
            <w:pStyle w:val="TDC2"/>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64" w:history="1">
            <w:r w:rsidRPr="0081375C">
              <w:rPr>
                <w:rStyle w:val="Hipervnculo"/>
                <w:rFonts w:eastAsia="Aptos"/>
                <w:bCs/>
              </w:rPr>
              <w:t>2.2. Marco Jurídico en el Distrito de Medellín</w:t>
            </w:r>
            <w:r w:rsidRPr="0081375C">
              <w:rPr>
                <w:webHidden/>
              </w:rPr>
              <w:tab/>
            </w:r>
            <w:r w:rsidRPr="0081375C">
              <w:rPr>
                <w:webHidden/>
              </w:rPr>
              <w:fldChar w:fldCharType="begin"/>
            </w:r>
            <w:r w:rsidRPr="0081375C">
              <w:rPr>
                <w:webHidden/>
              </w:rPr>
              <w:instrText xml:space="preserve"> PAGEREF _Toc233304164 \h </w:instrText>
            </w:r>
            <w:r w:rsidRPr="0081375C">
              <w:rPr>
                <w:webHidden/>
              </w:rPr>
            </w:r>
            <w:r w:rsidRPr="0081375C">
              <w:rPr>
                <w:webHidden/>
              </w:rPr>
              <w:fldChar w:fldCharType="separate"/>
            </w:r>
            <w:r w:rsidRPr="0081375C">
              <w:rPr>
                <w:webHidden/>
              </w:rPr>
              <w:t>17</w:t>
            </w:r>
            <w:r w:rsidRPr="0081375C">
              <w:rPr>
                <w:webHidden/>
              </w:rPr>
              <w:fldChar w:fldCharType="end"/>
            </w:r>
          </w:hyperlink>
        </w:p>
        <w:p w14:paraId="03EDB68E" w14:textId="33051300" w:rsidR="00B9105C" w:rsidRPr="0081375C" w:rsidRDefault="00B9105C">
          <w:pPr>
            <w:pStyle w:val="TDC1"/>
            <w:rPr>
              <w:rFonts w:asciiTheme="minorHAnsi" w:eastAsiaTheme="minorEastAsia" w:hAnsiTheme="minorHAnsi" w:cstheme="minorBidi"/>
              <w:b w:val="0"/>
              <w:bCs w:val="0"/>
              <w:color w:val="auto"/>
              <w:kern w:val="2"/>
              <w:sz w:val="24"/>
              <w:szCs w:val="24"/>
              <w14:ligatures w14:val="standardContextual"/>
            </w:rPr>
          </w:pPr>
          <w:hyperlink w:anchor="_Toc233304165" w:history="1">
            <w:r w:rsidRPr="0081375C">
              <w:rPr>
                <w:rStyle w:val="Hipervnculo"/>
                <w:rFonts w:eastAsia="Aptos"/>
              </w:rPr>
              <w:t>3.</w:t>
            </w:r>
            <w:r w:rsidRPr="0081375C">
              <w:rPr>
                <w:rStyle w:val="Hipervnculo"/>
                <w:rFonts w:eastAsia="Arial"/>
              </w:rPr>
              <w:t xml:space="preserve"> P</w:t>
            </w:r>
            <w:r w:rsidRPr="0081375C">
              <w:rPr>
                <w:rStyle w:val="Hipervnculo"/>
                <w:rFonts w:eastAsia="Aptos"/>
              </w:rPr>
              <w:t>rocedimientos y Actividades para la Implementación de Esquemas de Pago por Servicios Ambientales</w:t>
            </w:r>
            <w:r w:rsidRPr="0081375C">
              <w:rPr>
                <w:webHidden/>
              </w:rPr>
              <w:tab/>
            </w:r>
            <w:r w:rsidRPr="0081375C">
              <w:rPr>
                <w:webHidden/>
              </w:rPr>
              <w:fldChar w:fldCharType="begin"/>
            </w:r>
            <w:r w:rsidRPr="0081375C">
              <w:rPr>
                <w:webHidden/>
              </w:rPr>
              <w:instrText xml:space="preserve"> PAGEREF _Toc233304165 \h </w:instrText>
            </w:r>
            <w:r w:rsidRPr="0081375C">
              <w:rPr>
                <w:webHidden/>
              </w:rPr>
            </w:r>
            <w:r w:rsidRPr="0081375C">
              <w:rPr>
                <w:webHidden/>
              </w:rPr>
              <w:fldChar w:fldCharType="separate"/>
            </w:r>
            <w:r w:rsidRPr="0081375C">
              <w:rPr>
                <w:webHidden/>
              </w:rPr>
              <w:t>22</w:t>
            </w:r>
            <w:r w:rsidRPr="0081375C">
              <w:rPr>
                <w:webHidden/>
              </w:rPr>
              <w:fldChar w:fldCharType="end"/>
            </w:r>
          </w:hyperlink>
        </w:p>
        <w:p w14:paraId="51811E4E" w14:textId="53473BCF" w:rsidR="00B9105C" w:rsidRPr="0081375C" w:rsidRDefault="00B9105C">
          <w:pPr>
            <w:pStyle w:val="TDC2"/>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66" w:history="1">
            <w:r w:rsidRPr="0081375C">
              <w:rPr>
                <w:rStyle w:val="Hipervnculo"/>
                <w:rFonts w:eastAsia="Aptos"/>
              </w:rPr>
              <w:t>3.1. Etapa de Implementación</w:t>
            </w:r>
            <w:r w:rsidRPr="0081375C">
              <w:rPr>
                <w:webHidden/>
              </w:rPr>
              <w:tab/>
            </w:r>
            <w:r w:rsidRPr="0081375C">
              <w:rPr>
                <w:webHidden/>
              </w:rPr>
              <w:fldChar w:fldCharType="begin"/>
            </w:r>
            <w:r w:rsidRPr="0081375C">
              <w:rPr>
                <w:webHidden/>
              </w:rPr>
              <w:instrText xml:space="preserve"> PAGEREF _Toc233304166 \h </w:instrText>
            </w:r>
            <w:r w:rsidRPr="0081375C">
              <w:rPr>
                <w:webHidden/>
              </w:rPr>
            </w:r>
            <w:r w:rsidRPr="0081375C">
              <w:rPr>
                <w:webHidden/>
              </w:rPr>
              <w:fldChar w:fldCharType="separate"/>
            </w:r>
            <w:r w:rsidRPr="0081375C">
              <w:rPr>
                <w:webHidden/>
              </w:rPr>
              <w:t>23</w:t>
            </w:r>
            <w:r w:rsidRPr="0081375C">
              <w:rPr>
                <w:webHidden/>
              </w:rPr>
              <w:fldChar w:fldCharType="end"/>
            </w:r>
          </w:hyperlink>
        </w:p>
        <w:p w14:paraId="6174836E" w14:textId="7DCDCDB2"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67" w:history="1">
            <w:r w:rsidRPr="0081375C">
              <w:rPr>
                <w:rStyle w:val="Hipervnculo"/>
                <w:rFonts w:eastAsia="Aptos"/>
              </w:rPr>
              <w:t>3.1.1. Delimitación del Ecosistema Estratégico y Priorización de Áreas</w:t>
            </w:r>
            <w:r w:rsidRPr="0081375C">
              <w:rPr>
                <w:webHidden/>
              </w:rPr>
              <w:tab/>
            </w:r>
            <w:r w:rsidRPr="0081375C">
              <w:rPr>
                <w:webHidden/>
              </w:rPr>
              <w:fldChar w:fldCharType="begin"/>
            </w:r>
            <w:r w:rsidRPr="0081375C">
              <w:rPr>
                <w:webHidden/>
              </w:rPr>
              <w:instrText xml:space="preserve"> PAGEREF _Toc233304167 \h </w:instrText>
            </w:r>
            <w:r w:rsidRPr="0081375C">
              <w:rPr>
                <w:webHidden/>
              </w:rPr>
            </w:r>
            <w:r w:rsidRPr="0081375C">
              <w:rPr>
                <w:webHidden/>
              </w:rPr>
              <w:fldChar w:fldCharType="separate"/>
            </w:r>
            <w:r w:rsidRPr="0081375C">
              <w:rPr>
                <w:webHidden/>
              </w:rPr>
              <w:t>23</w:t>
            </w:r>
            <w:r w:rsidRPr="0081375C">
              <w:rPr>
                <w:webHidden/>
              </w:rPr>
              <w:fldChar w:fldCharType="end"/>
            </w:r>
          </w:hyperlink>
        </w:p>
        <w:p w14:paraId="4DE2FEC8" w14:textId="04709A06"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68" w:history="1">
            <w:r w:rsidRPr="0081375C">
              <w:rPr>
                <w:rStyle w:val="Hipervnculo"/>
                <w:rFonts w:eastAsia="Aptos"/>
              </w:rPr>
              <w:t>3.1.2. Delimitación del Ecosistema Estratégico de PSAH</w:t>
            </w:r>
            <w:r w:rsidRPr="0081375C">
              <w:rPr>
                <w:webHidden/>
              </w:rPr>
              <w:tab/>
            </w:r>
            <w:r w:rsidRPr="0081375C">
              <w:rPr>
                <w:webHidden/>
              </w:rPr>
              <w:fldChar w:fldCharType="begin"/>
            </w:r>
            <w:r w:rsidRPr="0081375C">
              <w:rPr>
                <w:webHidden/>
              </w:rPr>
              <w:instrText xml:space="preserve"> PAGEREF _Toc233304168 \h </w:instrText>
            </w:r>
            <w:r w:rsidRPr="0081375C">
              <w:rPr>
                <w:webHidden/>
              </w:rPr>
            </w:r>
            <w:r w:rsidRPr="0081375C">
              <w:rPr>
                <w:webHidden/>
              </w:rPr>
              <w:fldChar w:fldCharType="separate"/>
            </w:r>
            <w:r w:rsidRPr="0081375C">
              <w:rPr>
                <w:webHidden/>
              </w:rPr>
              <w:t>24</w:t>
            </w:r>
            <w:r w:rsidRPr="0081375C">
              <w:rPr>
                <w:webHidden/>
              </w:rPr>
              <w:fldChar w:fldCharType="end"/>
            </w:r>
          </w:hyperlink>
        </w:p>
        <w:p w14:paraId="1855271C" w14:textId="75D3B5A0"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69" w:history="1">
            <w:r w:rsidRPr="0081375C">
              <w:rPr>
                <w:rStyle w:val="Hipervnculo"/>
              </w:rPr>
              <w:t>3.1.3. Delimitación y Priorización del Ecosistema Estratégico PSABio</w:t>
            </w:r>
            <w:r w:rsidRPr="0081375C">
              <w:rPr>
                <w:webHidden/>
              </w:rPr>
              <w:tab/>
            </w:r>
            <w:r w:rsidRPr="0081375C">
              <w:rPr>
                <w:webHidden/>
              </w:rPr>
              <w:fldChar w:fldCharType="begin"/>
            </w:r>
            <w:r w:rsidRPr="0081375C">
              <w:rPr>
                <w:webHidden/>
              </w:rPr>
              <w:instrText xml:space="preserve"> PAGEREF _Toc233304169 \h </w:instrText>
            </w:r>
            <w:r w:rsidRPr="0081375C">
              <w:rPr>
                <w:webHidden/>
              </w:rPr>
            </w:r>
            <w:r w:rsidRPr="0081375C">
              <w:rPr>
                <w:webHidden/>
              </w:rPr>
              <w:fldChar w:fldCharType="separate"/>
            </w:r>
            <w:r w:rsidRPr="0081375C">
              <w:rPr>
                <w:webHidden/>
              </w:rPr>
              <w:t>25</w:t>
            </w:r>
            <w:r w:rsidRPr="0081375C">
              <w:rPr>
                <w:webHidden/>
              </w:rPr>
              <w:fldChar w:fldCharType="end"/>
            </w:r>
          </w:hyperlink>
        </w:p>
        <w:p w14:paraId="15CA1898" w14:textId="4EB52051"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70" w:history="1">
            <w:r w:rsidRPr="0081375C">
              <w:rPr>
                <w:rStyle w:val="Hipervnculo"/>
                <w:rFonts w:eastAsia="Aptos"/>
              </w:rPr>
              <w:t>3.1.4.</w:t>
            </w:r>
            <w:r w:rsidRPr="0081375C">
              <w:rPr>
                <w:rStyle w:val="Hipervnculo"/>
              </w:rPr>
              <w:t xml:space="preserve"> Insumos Requeridos</w:t>
            </w:r>
            <w:r w:rsidRPr="0081375C">
              <w:rPr>
                <w:webHidden/>
              </w:rPr>
              <w:tab/>
            </w:r>
            <w:r w:rsidRPr="0081375C">
              <w:rPr>
                <w:webHidden/>
              </w:rPr>
              <w:fldChar w:fldCharType="begin"/>
            </w:r>
            <w:r w:rsidRPr="0081375C">
              <w:rPr>
                <w:webHidden/>
              </w:rPr>
              <w:instrText xml:space="preserve"> PAGEREF _Toc233304170 \h </w:instrText>
            </w:r>
            <w:r w:rsidRPr="0081375C">
              <w:rPr>
                <w:webHidden/>
              </w:rPr>
            </w:r>
            <w:r w:rsidRPr="0081375C">
              <w:rPr>
                <w:webHidden/>
              </w:rPr>
              <w:fldChar w:fldCharType="separate"/>
            </w:r>
            <w:r w:rsidRPr="0081375C">
              <w:rPr>
                <w:webHidden/>
              </w:rPr>
              <w:t>27</w:t>
            </w:r>
            <w:r w:rsidRPr="0081375C">
              <w:rPr>
                <w:webHidden/>
              </w:rPr>
              <w:fldChar w:fldCharType="end"/>
            </w:r>
          </w:hyperlink>
        </w:p>
        <w:p w14:paraId="051E3446" w14:textId="0BC5FFF1"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71" w:history="1">
            <w:r w:rsidRPr="0081375C">
              <w:rPr>
                <w:rStyle w:val="Hipervnculo"/>
              </w:rPr>
              <w:t>3.1.5. Función de Puntuación PSABio</w:t>
            </w:r>
            <w:r w:rsidRPr="0081375C">
              <w:rPr>
                <w:webHidden/>
              </w:rPr>
              <w:tab/>
            </w:r>
            <w:r w:rsidRPr="0081375C">
              <w:rPr>
                <w:webHidden/>
              </w:rPr>
              <w:fldChar w:fldCharType="begin"/>
            </w:r>
            <w:r w:rsidRPr="0081375C">
              <w:rPr>
                <w:webHidden/>
              </w:rPr>
              <w:instrText xml:space="preserve"> PAGEREF _Toc233304171 \h </w:instrText>
            </w:r>
            <w:r w:rsidRPr="0081375C">
              <w:rPr>
                <w:webHidden/>
              </w:rPr>
            </w:r>
            <w:r w:rsidRPr="0081375C">
              <w:rPr>
                <w:webHidden/>
              </w:rPr>
              <w:fldChar w:fldCharType="separate"/>
            </w:r>
            <w:r w:rsidRPr="0081375C">
              <w:rPr>
                <w:webHidden/>
              </w:rPr>
              <w:t>28</w:t>
            </w:r>
            <w:r w:rsidRPr="0081375C">
              <w:rPr>
                <w:webHidden/>
              </w:rPr>
              <w:fldChar w:fldCharType="end"/>
            </w:r>
          </w:hyperlink>
        </w:p>
        <w:p w14:paraId="72C8059E" w14:textId="67EC9DB0"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72" w:history="1">
            <w:r w:rsidRPr="0081375C">
              <w:rPr>
                <w:rStyle w:val="Hipervnculo"/>
              </w:rPr>
              <w:t>3.1.6. Categorías de Priorización Ecosistema Estratégico PSABio</w:t>
            </w:r>
            <w:r w:rsidRPr="0081375C">
              <w:rPr>
                <w:webHidden/>
              </w:rPr>
              <w:tab/>
            </w:r>
            <w:r w:rsidRPr="0081375C">
              <w:rPr>
                <w:webHidden/>
              </w:rPr>
              <w:fldChar w:fldCharType="begin"/>
            </w:r>
            <w:r w:rsidRPr="0081375C">
              <w:rPr>
                <w:webHidden/>
              </w:rPr>
              <w:instrText xml:space="preserve"> PAGEREF _Toc233304172 \h </w:instrText>
            </w:r>
            <w:r w:rsidRPr="0081375C">
              <w:rPr>
                <w:webHidden/>
              </w:rPr>
            </w:r>
            <w:r w:rsidRPr="0081375C">
              <w:rPr>
                <w:webHidden/>
              </w:rPr>
              <w:fldChar w:fldCharType="separate"/>
            </w:r>
            <w:r w:rsidRPr="0081375C">
              <w:rPr>
                <w:webHidden/>
              </w:rPr>
              <w:t>34</w:t>
            </w:r>
            <w:r w:rsidRPr="0081375C">
              <w:rPr>
                <w:webHidden/>
              </w:rPr>
              <w:fldChar w:fldCharType="end"/>
            </w:r>
          </w:hyperlink>
        </w:p>
        <w:p w14:paraId="7E8C7455" w14:textId="37E0EED6"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73" w:history="1">
            <w:r w:rsidRPr="0081375C">
              <w:rPr>
                <w:rStyle w:val="Hipervnculo"/>
                <w:rFonts w:eastAsia="Aptos"/>
              </w:rPr>
              <w:t>3.1.6.1.</w:t>
            </w:r>
            <w:r w:rsidRPr="0081375C">
              <w:rPr>
                <w:rStyle w:val="Hipervnculo"/>
                <w:rFonts w:eastAsia="Aptos"/>
                <w:bCs/>
              </w:rPr>
              <w:t xml:space="preserve"> Priorización de Predios</w:t>
            </w:r>
            <w:r w:rsidRPr="0081375C">
              <w:rPr>
                <w:webHidden/>
              </w:rPr>
              <w:tab/>
            </w:r>
            <w:r w:rsidRPr="0081375C">
              <w:rPr>
                <w:webHidden/>
              </w:rPr>
              <w:fldChar w:fldCharType="begin"/>
            </w:r>
            <w:r w:rsidRPr="0081375C">
              <w:rPr>
                <w:webHidden/>
              </w:rPr>
              <w:instrText xml:space="preserve"> PAGEREF _Toc233304173 \h </w:instrText>
            </w:r>
            <w:r w:rsidRPr="0081375C">
              <w:rPr>
                <w:webHidden/>
              </w:rPr>
            </w:r>
            <w:r w:rsidRPr="0081375C">
              <w:rPr>
                <w:webHidden/>
              </w:rPr>
              <w:fldChar w:fldCharType="separate"/>
            </w:r>
            <w:r w:rsidRPr="0081375C">
              <w:rPr>
                <w:webHidden/>
              </w:rPr>
              <w:t>36</w:t>
            </w:r>
            <w:r w:rsidRPr="0081375C">
              <w:rPr>
                <w:webHidden/>
              </w:rPr>
              <w:fldChar w:fldCharType="end"/>
            </w:r>
          </w:hyperlink>
        </w:p>
        <w:p w14:paraId="6D57DD7B" w14:textId="23548915"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74" w:history="1">
            <w:r w:rsidRPr="0081375C">
              <w:rPr>
                <w:rStyle w:val="Hipervnculo"/>
                <w:rFonts w:eastAsia="Aptos"/>
              </w:rPr>
              <w:t>3.1.7. Convocatoria</w:t>
            </w:r>
            <w:r w:rsidRPr="0081375C">
              <w:rPr>
                <w:webHidden/>
              </w:rPr>
              <w:tab/>
            </w:r>
            <w:r w:rsidRPr="0081375C">
              <w:rPr>
                <w:webHidden/>
              </w:rPr>
              <w:fldChar w:fldCharType="begin"/>
            </w:r>
            <w:r w:rsidRPr="0081375C">
              <w:rPr>
                <w:webHidden/>
              </w:rPr>
              <w:instrText xml:space="preserve"> PAGEREF _Toc233304174 \h </w:instrText>
            </w:r>
            <w:r w:rsidRPr="0081375C">
              <w:rPr>
                <w:webHidden/>
              </w:rPr>
            </w:r>
            <w:r w:rsidRPr="0081375C">
              <w:rPr>
                <w:webHidden/>
              </w:rPr>
              <w:fldChar w:fldCharType="separate"/>
            </w:r>
            <w:r w:rsidRPr="0081375C">
              <w:rPr>
                <w:webHidden/>
              </w:rPr>
              <w:t>49</w:t>
            </w:r>
            <w:r w:rsidRPr="0081375C">
              <w:rPr>
                <w:webHidden/>
              </w:rPr>
              <w:fldChar w:fldCharType="end"/>
            </w:r>
          </w:hyperlink>
        </w:p>
        <w:p w14:paraId="5ED8BA95" w14:textId="2C10CF7E"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75" w:history="1">
            <w:r w:rsidRPr="0081375C">
              <w:rPr>
                <w:rStyle w:val="Hipervnculo"/>
              </w:rPr>
              <w:t>3.1.7.1.</w:t>
            </w:r>
            <w:r w:rsidRPr="0081375C">
              <w:rPr>
                <w:rStyle w:val="Hipervnculo"/>
                <w:rFonts w:eastAsia="Aptos"/>
                <w:bCs/>
              </w:rPr>
              <w:t xml:space="preserve"> Apertura de Convocatoria y Cronograma</w:t>
            </w:r>
            <w:r w:rsidRPr="0081375C">
              <w:rPr>
                <w:webHidden/>
              </w:rPr>
              <w:tab/>
            </w:r>
            <w:r w:rsidRPr="0081375C">
              <w:rPr>
                <w:webHidden/>
              </w:rPr>
              <w:fldChar w:fldCharType="begin"/>
            </w:r>
            <w:r w:rsidRPr="0081375C">
              <w:rPr>
                <w:webHidden/>
              </w:rPr>
              <w:instrText xml:space="preserve"> PAGEREF _Toc233304175 \h </w:instrText>
            </w:r>
            <w:r w:rsidRPr="0081375C">
              <w:rPr>
                <w:webHidden/>
              </w:rPr>
            </w:r>
            <w:r w:rsidRPr="0081375C">
              <w:rPr>
                <w:webHidden/>
              </w:rPr>
              <w:fldChar w:fldCharType="separate"/>
            </w:r>
            <w:r w:rsidRPr="0081375C">
              <w:rPr>
                <w:webHidden/>
              </w:rPr>
              <w:t>49</w:t>
            </w:r>
            <w:r w:rsidRPr="0081375C">
              <w:rPr>
                <w:webHidden/>
              </w:rPr>
              <w:fldChar w:fldCharType="end"/>
            </w:r>
          </w:hyperlink>
        </w:p>
        <w:p w14:paraId="3B7ACC8E" w14:textId="1D535BA4"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76" w:history="1">
            <w:r w:rsidRPr="0081375C">
              <w:rPr>
                <w:rStyle w:val="Hipervnculo"/>
                <w:rFonts w:eastAsia="Aptos"/>
              </w:rPr>
              <w:t>3.1.7.2.</w:t>
            </w:r>
            <w:r w:rsidRPr="0081375C">
              <w:rPr>
                <w:rStyle w:val="Hipervnculo"/>
                <w:rFonts w:eastAsia="Aptos"/>
                <w:bCs/>
              </w:rPr>
              <w:t xml:space="preserve"> Divulgación del Esquema</w:t>
            </w:r>
            <w:r w:rsidRPr="0081375C">
              <w:rPr>
                <w:webHidden/>
              </w:rPr>
              <w:tab/>
            </w:r>
            <w:r w:rsidRPr="0081375C">
              <w:rPr>
                <w:webHidden/>
              </w:rPr>
              <w:fldChar w:fldCharType="begin"/>
            </w:r>
            <w:r w:rsidRPr="0081375C">
              <w:rPr>
                <w:webHidden/>
              </w:rPr>
              <w:instrText xml:space="preserve"> PAGEREF _Toc233304176 \h </w:instrText>
            </w:r>
            <w:r w:rsidRPr="0081375C">
              <w:rPr>
                <w:webHidden/>
              </w:rPr>
            </w:r>
            <w:r w:rsidRPr="0081375C">
              <w:rPr>
                <w:webHidden/>
              </w:rPr>
              <w:fldChar w:fldCharType="separate"/>
            </w:r>
            <w:r w:rsidRPr="0081375C">
              <w:rPr>
                <w:webHidden/>
              </w:rPr>
              <w:t>50</w:t>
            </w:r>
            <w:r w:rsidRPr="0081375C">
              <w:rPr>
                <w:webHidden/>
              </w:rPr>
              <w:fldChar w:fldCharType="end"/>
            </w:r>
          </w:hyperlink>
        </w:p>
        <w:p w14:paraId="71064909" w14:textId="79F83863"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77" w:history="1">
            <w:r w:rsidRPr="0081375C">
              <w:rPr>
                <w:rStyle w:val="Hipervnculo"/>
                <w:rFonts w:eastAsia="Aptos"/>
              </w:rPr>
              <w:t>3.1.7.3.</w:t>
            </w:r>
            <w:r w:rsidRPr="0081375C">
              <w:rPr>
                <w:rStyle w:val="Hipervnculo"/>
                <w:rFonts w:eastAsia="Aptos"/>
                <w:bCs/>
              </w:rPr>
              <w:t xml:space="preserve"> Recepción de Postulaciones</w:t>
            </w:r>
            <w:r w:rsidRPr="0081375C">
              <w:rPr>
                <w:webHidden/>
              </w:rPr>
              <w:tab/>
            </w:r>
            <w:r w:rsidRPr="0081375C">
              <w:rPr>
                <w:webHidden/>
              </w:rPr>
              <w:fldChar w:fldCharType="begin"/>
            </w:r>
            <w:r w:rsidRPr="0081375C">
              <w:rPr>
                <w:webHidden/>
              </w:rPr>
              <w:instrText xml:space="preserve"> PAGEREF _Toc233304177 \h </w:instrText>
            </w:r>
            <w:r w:rsidRPr="0081375C">
              <w:rPr>
                <w:webHidden/>
              </w:rPr>
            </w:r>
            <w:r w:rsidRPr="0081375C">
              <w:rPr>
                <w:webHidden/>
              </w:rPr>
              <w:fldChar w:fldCharType="separate"/>
            </w:r>
            <w:r w:rsidRPr="0081375C">
              <w:rPr>
                <w:webHidden/>
              </w:rPr>
              <w:t>51</w:t>
            </w:r>
            <w:r w:rsidRPr="0081375C">
              <w:rPr>
                <w:webHidden/>
              </w:rPr>
              <w:fldChar w:fldCharType="end"/>
            </w:r>
          </w:hyperlink>
        </w:p>
        <w:p w14:paraId="192CDC3A" w14:textId="621C05C8"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78" w:history="1">
            <w:r w:rsidRPr="0081375C">
              <w:rPr>
                <w:rStyle w:val="Hipervnculo"/>
                <w:rFonts w:eastAsia="Aptos"/>
              </w:rPr>
              <w:t>3.1.8. Evaluación de Postulaciones</w:t>
            </w:r>
            <w:r w:rsidRPr="0081375C">
              <w:rPr>
                <w:webHidden/>
              </w:rPr>
              <w:tab/>
            </w:r>
            <w:r w:rsidRPr="0081375C">
              <w:rPr>
                <w:webHidden/>
              </w:rPr>
              <w:fldChar w:fldCharType="begin"/>
            </w:r>
            <w:r w:rsidRPr="0081375C">
              <w:rPr>
                <w:webHidden/>
              </w:rPr>
              <w:instrText xml:space="preserve"> PAGEREF _Toc233304178 \h </w:instrText>
            </w:r>
            <w:r w:rsidRPr="0081375C">
              <w:rPr>
                <w:webHidden/>
              </w:rPr>
            </w:r>
            <w:r w:rsidRPr="0081375C">
              <w:rPr>
                <w:webHidden/>
              </w:rPr>
              <w:fldChar w:fldCharType="separate"/>
            </w:r>
            <w:r w:rsidRPr="0081375C">
              <w:rPr>
                <w:webHidden/>
              </w:rPr>
              <w:t>54</w:t>
            </w:r>
            <w:r w:rsidRPr="0081375C">
              <w:rPr>
                <w:webHidden/>
              </w:rPr>
              <w:fldChar w:fldCharType="end"/>
            </w:r>
          </w:hyperlink>
        </w:p>
        <w:p w14:paraId="69095D95" w14:textId="4A5110DD"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79" w:history="1">
            <w:r w:rsidRPr="0081375C">
              <w:rPr>
                <w:rStyle w:val="Hipervnculo"/>
                <w:rFonts w:eastAsia="Aptos"/>
              </w:rPr>
              <w:t>3.1.8.1.</w:t>
            </w:r>
            <w:r w:rsidRPr="0081375C">
              <w:rPr>
                <w:rStyle w:val="Hipervnculo"/>
                <w:rFonts w:eastAsia="Aptos"/>
                <w:bCs/>
              </w:rPr>
              <w:t xml:space="preserve"> Evaluación Documental Preliminar</w:t>
            </w:r>
            <w:r w:rsidRPr="0081375C">
              <w:rPr>
                <w:webHidden/>
              </w:rPr>
              <w:tab/>
            </w:r>
            <w:r w:rsidRPr="0081375C">
              <w:rPr>
                <w:webHidden/>
              </w:rPr>
              <w:fldChar w:fldCharType="begin"/>
            </w:r>
            <w:r w:rsidRPr="0081375C">
              <w:rPr>
                <w:webHidden/>
              </w:rPr>
              <w:instrText xml:space="preserve"> PAGEREF _Toc233304179 \h </w:instrText>
            </w:r>
            <w:r w:rsidRPr="0081375C">
              <w:rPr>
                <w:webHidden/>
              </w:rPr>
            </w:r>
            <w:r w:rsidRPr="0081375C">
              <w:rPr>
                <w:webHidden/>
              </w:rPr>
              <w:fldChar w:fldCharType="separate"/>
            </w:r>
            <w:r w:rsidRPr="0081375C">
              <w:rPr>
                <w:webHidden/>
              </w:rPr>
              <w:t>54</w:t>
            </w:r>
            <w:r w:rsidRPr="0081375C">
              <w:rPr>
                <w:webHidden/>
              </w:rPr>
              <w:fldChar w:fldCharType="end"/>
            </w:r>
          </w:hyperlink>
        </w:p>
        <w:p w14:paraId="27580608" w14:textId="72A80729"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80" w:history="1">
            <w:r w:rsidRPr="0081375C">
              <w:rPr>
                <w:rStyle w:val="Hipervnculo"/>
                <w:rFonts w:eastAsia="Aptos"/>
              </w:rPr>
              <w:t>3.1.8.2.</w:t>
            </w:r>
            <w:r w:rsidRPr="0081375C">
              <w:rPr>
                <w:rStyle w:val="Hipervnculo"/>
                <w:rFonts w:eastAsia="Aptos"/>
                <w:bCs/>
              </w:rPr>
              <w:t xml:space="preserve"> Evaluación Jurídica</w:t>
            </w:r>
            <w:r w:rsidRPr="0081375C">
              <w:rPr>
                <w:webHidden/>
              </w:rPr>
              <w:tab/>
            </w:r>
            <w:r w:rsidRPr="0081375C">
              <w:rPr>
                <w:webHidden/>
              </w:rPr>
              <w:fldChar w:fldCharType="begin"/>
            </w:r>
            <w:r w:rsidRPr="0081375C">
              <w:rPr>
                <w:webHidden/>
              </w:rPr>
              <w:instrText xml:space="preserve"> PAGEREF _Toc233304180 \h </w:instrText>
            </w:r>
            <w:r w:rsidRPr="0081375C">
              <w:rPr>
                <w:webHidden/>
              </w:rPr>
            </w:r>
            <w:r w:rsidRPr="0081375C">
              <w:rPr>
                <w:webHidden/>
              </w:rPr>
              <w:fldChar w:fldCharType="separate"/>
            </w:r>
            <w:r w:rsidRPr="0081375C">
              <w:rPr>
                <w:webHidden/>
              </w:rPr>
              <w:t>55</w:t>
            </w:r>
            <w:r w:rsidRPr="0081375C">
              <w:rPr>
                <w:webHidden/>
              </w:rPr>
              <w:fldChar w:fldCharType="end"/>
            </w:r>
          </w:hyperlink>
        </w:p>
        <w:p w14:paraId="76EC1FC5" w14:textId="145F239F"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81" w:history="1">
            <w:r w:rsidRPr="0081375C">
              <w:rPr>
                <w:rStyle w:val="Hipervnculo"/>
                <w:rFonts w:eastAsia="Aptos"/>
              </w:rPr>
              <w:t>3.1.8.3.</w:t>
            </w:r>
            <w:r w:rsidRPr="0081375C">
              <w:rPr>
                <w:rStyle w:val="Hipervnculo"/>
                <w:rFonts w:eastAsia="Aptos"/>
                <w:bCs/>
              </w:rPr>
              <w:t xml:space="preserve"> Evaluación y Visita Técnica</w:t>
            </w:r>
            <w:r w:rsidRPr="0081375C">
              <w:rPr>
                <w:webHidden/>
              </w:rPr>
              <w:tab/>
            </w:r>
            <w:r w:rsidRPr="0081375C">
              <w:rPr>
                <w:webHidden/>
              </w:rPr>
              <w:fldChar w:fldCharType="begin"/>
            </w:r>
            <w:r w:rsidRPr="0081375C">
              <w:rPr>
                <w:webHidden/>
              </w:rPr>
              <w:instrText xml:space="preserve"> PAGEREF _Toc233304181 \h </w:instrText>
            </w:r>
            <w:r w:rsidRPr="0081375C">
              <w:rPr>
                <w:webHidden/>
              </w:rPr>
            </w:r>
            <w:r w:rsidRPr="0081375C">
              <w:rPr>
                <w:webHidden/>
              </w:rPr>
              <w:fldChar w:fldCharType="separate"/>
            </w:r>
            <w:r w:rsidRPr="0081375C">
              <w:rPr>
                <w:webHidden/>
              </w:rPr>
              <w:t>57</w:t>
            </w:r>
            <w:r w:rsidRPr="0081375C">
              <w:rPr>
                <w:webHidden/>
              </w:rPr>
              <w:fldChar w:fldCharType="end"/>
            </w:r>
          </w:hyperlink>
        </w:p>
        <w:p w14:paraId="5B8BB19D" w14:textId="3F6C739D"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82" w:history="1">
            <w:r w:rsidRPr="0081375C">
              <w:rPr>
                <w:rStyle w:val="Hipervnculo"/>
                <w:rFonts w:eastAsia="Aptos"/>
                <w:bCs/>
              </w:rPr>
              <w:t>Evaluación de Acciones a Implementar</w:t>
            </w:r>
            <w:r w:rsidRPr="0081375C">
              <w:rPr>
                <w:webHidden/>
              </w:rPr>
              <w:tab/>
            </w:r>
            <w:r w:rsidRPr="0081375C">
              <w:rPr>
                <w:webHidden/>
              </w:rPr>
              <w:fldChar w:fldCharType="begin"/>
            </w:r>
            <w:r w:rsidRPr="0081375C">
              <w:rPr>
                <w:webHidden/>
              </w:rPr>
              <w:instrText xml:space="preserve"> PAGEREF _Toc233304182 \h </w:instrText>
            </w:r>
            <w:r w:rsidRPr="0081375C">
              <w:rPr>
                <w:webHidden/>
              </w:rPr>
            </w:r>
            <w:r w:rsidRPr="0081375C">
              <w:rPr>
                <w:webHidden/>
              </w:rPr>
              <w:fldChar w:fldCharType="separate"/>
            </w:r>
            <w:r w:rsidRPr="0081375C">
              <w:rPr>
                <w:webHidden/>
              </w:rPr>
              <w:t>59</w:t>
            </w:r>
            <w:r w:rsidRPr="0081375C">
              <w:rPr>
                <w:webHidden/>
              </w:rPr>
              <w:fldChar w:fldCharType="end"/>
            </w:r>
          </w:hyperlink>
        </w:p>
        <w:p w14:paraId="1929C75A" w14:textId="054889DB"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83" w:history="1">
            <w:r w:rsidRPr="0081375C">
              <w:rPr>
                <w:rStyle w:val="Hipervnculo"/>
                <w:rFonts w:eastAsia="Aptos"/>
              </w:rPr>
              <w:t>3.1.8.4.</w:t>
            </w:r>
            <w:r w:rsidRPr="0081375C">
              <w:rPr>
                <w:rStyle w:val="Hipervnculo"/>
                <w:rFonts w:eastAsia="Aptos"/>
                <w:bCs/>
              </w:rPr>
              <w:t xml:space="preserve"> Selección Final de Postulaciones</w:t>
            </w:r>
            <w:r w:rsidRPr="0081375C">
              <w:rPr>
                <w:webHidden/>
              </w:rPr>
              <w:tab/>
            </w:r>
            <w:r w:rsidRPr="0081375C">
              <w:rPr>
                <w:webHidden/>
              </w:rPr>
              <w:fldChar w:fldCharType="begin"/>
            </w:r>
            <w:r w:rsidRPr="0081375C">
              <w:rPr>
                <w:webHidden/>
              </w:rPr>
              <w:instrText xml:space="preserve"> PAGEREF _Toc233304183 \h </w:instrText>
            </w:r>
            <w:r w:rsidRPr="0081375C">
              <w:rPr>
                <w:webHidden/>
              </w:rPr>
            </w:r>
            <w:r w:rsidRPr="0081375C">
              <w:rPr>
                <w:webHidden/>
              </w:rPr>
              <w:fldChar w:fldCharType="separate"/>
            </w:r>
            <w:r w:rsidRPr="0081375C">
              <w:rPr>
                <w:webHidden/>
              </w:rPr>
              <w:t>66</w:t>
            </w:r>
            <w:r w:rsidRPr="0081375C">
              <w:rPr>
                <w:webHidden/>
              </w:rPr>
              <w:fldChar w:fldCharType="end"/>
            </w:r>
          </w:hyperlink>
        </w:p>
        <w:p w14:paraId="72D19013" w14:textId="26E9A762"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84" w:history="1">
            <w:r w:rsidRPr="0081375C">
              <w:rPr>
                <w:rStyle w:val="Hipervnculo"/>
              </w:rPr>
              <w:t>3.1.8.5.</w:t>
            </w:r>
            <w:r w:rsidRPr="0081375C">
              <w:rPr>
                <w:rStyle w:val="Hipervnculo"/>
                <w:rFonts w:eastAsia="Aptos"/>
                <w:bCs/>
              </w:rPr>
              <w:t xml:space="preserve"> Comité Técnico de Evaluación y Seguimiento</w:t>
            </w:r>
            <w:r w:rsidRPr="0081375C">
              <w:rPr>
                <w:webHidden/>
              </w:rPr>
              <w:tab/>
            </w:r>
            <w:r w:rsidRPr="0081375C">
              <w:rPr>
                <w:webHidden/>
              </w:rPr>
              <w:fldChar w:fldCharType="begin"/>
            </w:r>
            <w:r w:rsidRPr="0081375C">
              <w:rPr>
                <w:webHidden/>
              </w:rPr>
              <w:instrText xml:space="preserve"> PAGEREF _Toc233304184 \h </w:instrText>
            </w:r>
            <w:r w:rsidRPr="0081375C">
              <w:rPr>
                <w:webHidden/>
              </w:rPr>
            </w:r>
            <w:r w:rsidRPr="0081375C">
              <w:rPr>
                <w:webHidden/>
              </w:rPr>
              <w:fldChar w:fldCharType="separate"/>
            </w:r>
            <w:r w:rsidRPr="0081375C">
              <w:rPr>
                <w:webHidden/>
              </w:rPr>
              <w:t>67</w:t>
            </w:r>
            <w:r w:rsidRPr="0081375C">
              <w:rPr>
                <w:webHidden/>
              </w:rPr>
              <w:fldChar w:fldCharType="end"/>
            </w:r>
          </w:hyperlink>
        </w:p>
        <w:p w14:paraId="6C911492" w14:textId="2D932E7F"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85" w:history="1">
            <w:r w:rsidRPr="0081375C">
              <w:rPr>
                <w:rStyle w:val="Hipervnculo"/>
                <w:rFonts w:eastAsia="Aptos"/>
              </w:rPr>
              <w:t>3.1.9. Formalización de Acuerdos</w:t>
            </w:r>
            <w:r w:rsidRPr="0081375C">
              <w:rPr>
                <w:webHidden/>
              </w:rPr>
              <w:tab/>
            </w:r>
            <w:r w:rsidRPr="0081375C">
              <w:rPr>
                <w:webHidden/>
              </w:rPr>
              <w:fldChar w:fldCharType="begin"/>
            </w:r>
            <w:r w:rsidRPr="0081375C">
              <w:rPr>
                <w:webHidden/>
              </w:rPr>
              <w:instrText xml:space="preserve"> PAGEREF _Toc233304185 \h </w:instrText>
            </w:r>
            <w:r w:rsidRPr="0081375C">
              <w:rPr>
                <w:webHidden/>
              </w:rPr>
            </w:r>
            <w:r w:rsidRPr="0081375C">
              <w:rPr>
                <w:webHidden/>
              </w:rPr>
              <w:fldChar w:fldCharType="separate"/>
            </w:r>
            <w:r w:rsidRPr="0081375C">
              <w:rPr>
                <w:webHidden/>
              </w:rPr>
              <w:t>69</w:t>
            </w:r>
            <w:r w:rsidRPr="0081375C">
              <w:rPr>
                <w:webHidden/>
              </w:rPr>
              <w:fldChar w:fldCharType="end"/>
            </w:r>
          </w:hyperlink>
        </w:p>
        <w:p w14:paraId="14CF25FE" w14:textId="72E6382E" w:rsidR="00B9105C" w:rsidRPr="0081375C" w:rsidRDefault="00B9105C">
          <w:pPr>
            <w:pStyle w:val="TDC5"/>
            <w:tabs>
              <w:tab w:val="right" w:leader="dot" w:pos="8636"/>
            </w:tabs>
            <w:rPr>
              <w:rFonts w:asciiTheme="minorHAnsi" w:hAnsiTheme="minorHAnsi" w:cstheme="minorBidi"/>
              <w:color w:val="auto"/>
              <w:sz w:val="24"/>
            </w:rPr>
          </w:pPr>
          <w:hyperlink w:anchor="_Toc233304186" w:history="1">
            <w:r w:rsidRPr="0081375C">
              <w:rPr>
                <w:rStyle w:val="Hipervnculo"/>
              </w:rPr>
              <w:t>3.1.9.1. Cálculo del Valor del Incentivo</w:t>
            </w:r>
            <w:r w:rsidRPr="0081375C">
              <w:rPr>
                <w:webHidden/>
              </w:rPr>
              <w:tab/>
            </w:r>
            <w:r w:rsidRPr="0081375C">
              <w:rPr>
                <w:webHidden/>
              </w:rPr>
              <w:fldChar w:fldCharType="begin"/>
            </w:r>
            <w:r w:rsidRPr="0081375C">
              <w:rPr>
                <w:webHidden/>
              </w:rPr>
              <w:instrText xml:space="preserve"> PAGEREF _Toc233304186 \h </w:instrText>
            </w:r>
            <w:r w:rsidRPr="0081375C">
              <w:rPr>
                <w:webHidden/>
              </w:rPr>
            </w:r>
            <w:r w:rsidRPr="0081375C">
              <w:rPr>
                <w:webHidden/>
              </w:rPr>
              <w:fldChar w:fldCharType="separate"/>
            </w:r>
            <w:r w:rsidRPr="0081375C">
              <w:rPr>
                <w:webHidden/>
              </w:rPr>
              <w:t>71</w:t>
            </w:r>
            <w:r w:rsidRPr="0081375C">
              <w:rPr>
                <w:webHidden/>
              </w:rPr>
              <w:fldChar w:fldCharType="end"/>
            </w:r>
          </w:hyperlink>
        </w:p>
        <w:p w14:paraId="69F14BFA" w14:textId="5C5E7A0B" w:rsidR="00B9105C" w:rsidRPr="0081375C" w:rsidRDefault="00B9105C">
          <w:pPr>
            <w:pStyle w:val="TDC5"/>
            <w:tabs>
              <w:tab w:val="right" w:leader="dot" w:pos="8636"/>
            </w:tabs>
            <w:rPr>
              <w:rFonts w:asciiTheme="minorHAnsi" w:hAnsiTheme="minorHAnsi" w:cstheme="minorBidi"/>
              <w:color w:val="auto"/>
              <w:sz w:val="24"/>
            </w:rPr>
          </w:pPr>
          <w:hyperlink w:anchor="_Toc233304187" w:history="1">
            <w:r w:rsidRPr="0081375C">
              <w:rPr>
                <w:rStyle w:val="Hipervnculo"/>
              </w:rPr>
              <w:t>3.1.9.2. Procedimiento de Formalización</w:t>
            </w:r>
            <w:r w:rsidRPr="0081375C">
              <w:rPr>
                <w:webHidden/>
              </w:rPr>
              <w:tab/>
            </w:r>
            <w:r w:rsidRPr="0081375C">
              <w:rPr>
                <w:webHidden/>
              </w:rPr>
              <w:fldChar w:fldCharType="begin"/>
            </w:r>
            <w:r w:rsidRPr="0081375C">
              <w:rPr>
                <w:webHidden/>
              </w:rPr>
              <w:instrText xml:space="preserve"> PAGEREF _Toc233304187 \h </w:instrText>
            </w:r>
            <w:r w:rsidRPr="0081375C">
              <w:rPr>
                <w:webHidden/>
              </w:rPr>
            </w:r>
            <w:r w:rsidRPr="0081375C">
              <w:rPr>
                <w:webHidden/>
              </w:rPr>
              <w:fldChar w:fldCharType="separate"/>
            </w:r>
            <w:r w:rsidRPr="0081375C">
              <w:rPr>
                <w:webHidden/>
              </w:rPr>
              <w:t>72</w:t>
            </w:r>
            <w:r w:rsidRPr="0081375C">
              <w:rPr>
                <w:webHidden/>
              </w:rPr>
              <w:fldChar w:fldCharType="end"/>
            </w:r>
          </w:hyperlink>
        </w:p>
        <w:p w14:paraId="68FC9354" w14:textId="63066ADA" w:rsidR="00B9105C" w:rsidRPr="0081375C" w:rsidRDefault="00B9105C">
          <w:pPr>
            <w:pStyle w:val="TDC2"/>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88" w:history="1">
            <w:r w:rsidRPr="0081375C">
              <w:rPr>
                <w:rStyle w:val="Hipervnculo"/>
                <w:rFonts w:eastAsia="Aptos"/>
              </w:rPr>
              <w:t>3.2. Etapa de Ejecución</w:t>
            </w:r>
            <w:r w:rsidRPr="0081375C">
              <w:rPr>
                <w:webHidden/>
              </w:rPr>
              <w:tab/>
            </w:r>
            <w:r w:rsidRPr="0081375C">
              <w:rPr>
                <w:webHidden/>
              </w:rPr>
              <w:fldChar w:fldCharType="begin"/>
            </w:r>
            <w:r w:rsidRPr="0081375C">
              <w:rPr>
                <w:webHidden/>
              </w:rPr>
              <w:instrText xml:space="preserve"> PAGEREF _Toc233304188 \h </w:instrText>
            </w:r>
            <w:r w:rsidRPr="0081375C">
              <w:rPr>
                <w:webHidden/>
              </w:rPr>
            </w:r>
            <w:r w:rsidRPr="0081375C">
              <w:rPr>
                <w:webHidden/>
              </w:rPr>
              <w:fldChar w:fldCharType="separate"/>
            </w:r>
            <w:r w:rsidRPr="0081375C">
              <w:rPr>
                <w:webHidden/>
              </w:rPr>
              <w:t>74</w:t>
            </w:r>
            <w:r w:rsidRPr="0081375C">
              <w:rPr>
                <w:webHidden/>
              </w:rPr>
              <w:fldChar w:fldCharType="end"/>
            </w:r>
          </w:hyperlink>
        </w:p>
        <w:p w14:paraId="3CACF1BB" w14:textId="50BFFD80"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89" w:history="1">
            <w:r w:rsidRPr="0081375C">
              <w:rPr>
                <w:rStyle w:val="Hipervnculo"/>
                <w:rFonts w:eastAsia="Aptos"/>
              </w:rPr>
              <w:t>3.2.1. Intervenciones de Campo</w:t>
            </w:r>
            <w:r w:rsidRPr="0081375C">
              <w:rPr>
                <w:webHidden/>
              </w:rPr>
              <w:tab/>
            </w:r>
            <w:r w:rsidRPr="0081375C">
              <w:rPr>
                <w:webHidden/>
              </w:rPr>
              <w:fldChar w:fldCharType="begin"/>
            </w:r>
            <w:r w:rsidRPr="0081375C">
              <w:rPr>
                <w:webHidden/>
              </w:rPr>
              <w:instrText xml:space="preserve"> PAGEREF _Toc233304189 \h </w:instrText>
            </w:r>
            <w:r w:rsidRPr="0081375C">
              <w:rPr>
                <w:webHidden/>
              </w:rPr>
            </w:r>
            <w:r w:rsidRPr="0081375C">
              <w:rPr>
                <w:webHidden/>
              </w:rPr>
              <w:fldChar w:fldCharType="separate"/>
            </w:r>
            <w:r w:rsidRPr="0081375C">
              <w:rPr>
                <w:webHidden/>
              </w:rPr>
              <w:t>74</w:t>
            </w:r>
            <w:r w:rsidRPr="0081375C">
              <w:rPr>
                <w:webHidden/>
              </w:rPr>
              <w:fldChar w:fldCharType="end"/>
            </w:r>
          </w:hyperlink>
        </w:p>
        <w:p w14:paraId="51C26235" w14:textId="1CA49D1A"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0" w:history="1">
            <w:r w:rsidRPr="0081375C">
              <w:rPr>
                <w:rStyle w:val="Hipervnculo"/>
                <w:rFonts w:eastAsia="Aptos"/>
              </w:rPr>
              <w:t>Intervenciones</w:t>
            </w:r>
            <w:r w:rsidRPr="0081375C">
              <w:rPr>
                <w:rStyle w:val="Hipervnculo"/>
                <w:rFonts w:eastAsia="Aptos"/>
                <w:bCs/>
              </w:rPr>
              <w:t xml:space="preserve"> de Preservación y Restauración</w:t>
            </w:r>
            <w:r w:rsidRPr="0081375C">
              <w:rPr>
                <w:webHidden/>
              </w:rPr>
              <w:tab/>
            </w:r>
            <w:r w:rsidRPr="0081375C">
              <w:rPr>
                <w:webHidden/>
              </w:rPr>
              <w:fldChar w:fldCharType="begin"/>
            </w:r>
            <w:r w:rsidRPr="0081375C">
              <w:rPr>
                <w:webHidden/>
              </w:rPr>
              <w:instrText xml:space="preserve"> PAGEREF _Toc233304190 \h </w:instrText>
            </w:r>
            <w:r w:rsidRPr="0081375C">
              <w:rPr>
                <w:webHidden/>
              </w:rPr>
            </w:r>
            <w:r w:rsidRPr="0081375C">
              <w:rPr>
                <w:webHidden/>
              </w:rPr>
              <w:fldChar w:fldCharType="separate"/>
            </w:r>
            <w:r w:rsidRPr="0081375C">
              <w:rPr>
                <w:webHidden/>
              </w:rPr>
              <w:t>74</w:t>
            </w:r>
            <w:r w:rsidRPr="0081375C">
              <w:rPr>
                <w:webHidden/>
              </w:rPr>
              <w:fldChar w:fldCharType="end"/>
            </w:r>
          </w:hyperlink>
        </w:p>
        <w:p w14:paraId="293E6BD7" w14:textId="10935987"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91" w:history="1">
            <w:r w:rsidRPr="0081375C">
              <w:rPr>
                <w:rStyle w:val="Hipervnculo"/>
              </w:rPr>
              <w:t>3.2.2. Acciones Comportamentales</w:t>
            </w:r>
            <w:r w:rsidRPr="0081375C">
              <w:rPr>
                <w:webHidden/>
              </w:rPr>
              <w:tab/>
            </w:r>
            <w:r w:rsidRPr="0081375C">
              <w:rPr>
                <w:webHidden/>
              </w:rPr>
              <w:fldChar w:fldCharType="begin"/>
            </w:r>
            <w:r w:rsidRPr="0081375C">
              <w:rPr>
                <w:webHidden/>
              </w:rPr>
              <w:instrText xml:space="preserve"> PAGEREF _Toc233304191 \h </w:instrText>
            </w:r>
            <w:r w:rsidRPr="0081375C">
              <w:rPr>
                <w:webHidden/>
              </w:rPr>
            </w:r>
            <w:r w:rsidRPr="0081375C">
              <w:rPr>
                <w:webHidden/>
              </w:rPr>
              <w:fldChar w:fldCharType="separate"/>
            </w:r>
            <w:r w:rsidRPr="0081375C">
              <w:rPr>
                <w:webHidden/>
              </w:rPr>
              <w:t>75</w:t>
            </w:r>
            <w:r w:rsidRPr="0081375C">
              <w:rPr>
                <w:webHidden/>
              </w:rPr>
              <w:fldChar w:fldCharType="end"/>
            </w:r>
          </w:hyperlink>
        </w:p>
        <w:p w14:paraId="5ABBCFC0" w14:textId="0E9182D1"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2" w:history="1">
            <w:r w:rsidRPr="0081375C">
              <w:rPr>
                <w:rStyle w:val="Hipervnculo"/>
                <w:rFonts w:eastAsia="Aptos"/>
              </w:rPr>
              <w:t>3.2.2.1.</w:t>
            </w:r>
            <w:r w:rsidRPr="0081375C">
              <w:rPr>
                <w:rStyle w:val="Hipervnculo"/>
                <w:rFonts w:eastAsia="Aptos"/>
                <w:bCs/>
              </w:rPr>
              <w:t xml:space="preserve"> Buenas Prácticas</w:t>
            </w:r>
            <w:r w:rsidRPr="0081375C">
              <w:rPr>
                <w:webHidden/>
              </w:rPr>
              <w:tab/>
            </w:r>
            <w:r w:rsidRPr="0081375C">
              <w:rPr>
                <w:webHidden/>
              </w:rPr>
              <w:fldChar w:fldCharType="begin"/>
            </w:r>
            <w:r w:rsidRPr="0081375C">
              <w:rPr>
                <w:webHidden/>
              </w:rPr>
              <w:instrText xml:space="preserve"> PAGEREF _Toc233304192 \h </w:instrText>
            </w:r>
            <w:r w:rsidRPr="0081375C">
              <w:rPr>
                <w:webHidden/>
              </w:rPr>
            </w:r>
            <w:r w:rsidRPr="0081375C">
              <w:rPr>
                <w:webHidden/>
              </w:rPr>
              <w:fldChar w:fldCharType="separate"/>
            </w:r>
            <w:r w:rsidRPr="0081375C">
              <w:rPr>
                <w:webHidden/>
              </w:rPr>
              <w:t>76</w:t>
            </w:r>
            <w:r w:rsidRPr="0081375C">
              <w:rPr>
                <w:webHidden/>
              </w:rPr>
              <w:fldChar w:fldCharType="end"/>
            </w:r>
          </w:hyperlink>
        </w:p>
        <w:p w14:paraId="721DDEE0" w14:textId="5F6A1492"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3" w:history="1">
            <w:r w:rsidRPr="0081375C">
              <w:rPr>
                <w:rStyle w:val="Hipervnculo"/>
                <w:rFonts w:eastAsia="Aptos"/>
              </w:rPr>
              <w:t>Apropiación social del conocimiento</w:t>
            </w:r>
            <w:r w:rsidRPr="0081375C">
              <w:rPr>
                <w:webHidden/>
              </w:rPr>
              <w:tab/>
            </w:r>
            <w:r w:rsidRPr="0081375C">
              <w:rPr>
                <w:webHidden/>
              </w:rPr>
              <w:fldChar w:fldCharType="begin"/>
            </w:r>
            <w:r w:rsidRPr="0081375C">
              <w:rPr>
                <w:webHidden/>
              </w:rPr>
              <w:instrText xml:space="preserve"> PAGEREF _Toc233304193 \h </w:instrText>
            </w:r>
            <w:r w:rsidRPr="0081375C">
              <w:rPr>
                <w:webHidden/>
              </w:rPr>
            </w:r>
            <w:r w:rsidRPr="0081375C">
              <w:rPr>
                <w:webHidden/>
              </w:rPr>
              <w:fldChar w:fldCharType="separate"/>
            </w:r>
            <w:r w:rsidRPr="0081375C">
              <w:rPr>
                <w:webHidden/>
              </w:rPr>
              <w:t>78</w:t>
            </w:r>
            <w:r w:rsidRPr="0081375C">
              <w:rPr>
                <w:webHidden/>
              </w:rPr>
              <w:fldChar w:fldCharType="end"/>
            </w:r>
          </w:hyperlink>
        </w:p>
        <w:p w14:paraId="7EFC2750" w14:textId="460B48AF"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94" w:history="1">
            <w:r w:rsidRPr="0081375C">
              <w:rPr>
                <w:rStyle w:val="Hipervnculo"/>
                <w:rFonts w:eastAsia="Aptos"/>
              </w:rPr>
              <w:t>3.2.3. Seguimiento a la Ejecución del Esquema</w:t>
            </w:r>
            <w:r w:rsidRPr="0081375C">
              <w:rPr>
                <w:webHidden/>
              </w:rPr>
              <w:tab/>
            </w:r>
            <w:r w:rsidRPr="0081375C">
              <w:rPr>
                <w:webHidden/>
              </w:rPr>
              <w:fldChar w:fldCharType="begin"/>
            </w:r>
            <w:r w:rsidRPr="0081375C">
              <w:rPr>
                <w:webHidden/>
              </w:rPr>
              <w:instrText xml:space="preserve"> PAGEREF _Toc233304194 \h </w:instrText>
            </w:r>
            <w:r w:rsidRPr="0081375C">
              <w:rPr>
                <w:webHidden/>
              </w:rPr>
            </w:r>
            <w:r w:rsidRPr="0081375C">
              <w:rPr>
                <w:webHidden/>
              </w:rPr>
              <w:fldChar w:fldCharType="separate"/>
            </w:r>
            <w:r w:rsidRPr="0081375C">
              <w:rPr>
                <w:webHidden/>
              </w:rPr>
              <w:t>80</w:t>
            </w:r>
            <w:r w:rsidRPr="0081375C">
              <w:rPr>
                <w:webHidden/>
              </w:rPr>
              <w:fldChar w:fldCharType="end"/>
            </w:r>
          </w:hyperlink>
        </w:p>
        <w:p w14:paraId="2A7D36A7" w14:textId="5274488A"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5" w:history="1">
            <w:r w:rsidRPr="0081375C">
              <w:rPr>
                <w:rStyle w:val="Hipervnculo"/>
                <w:rFonts w:eastAsia="Aptos"/>
              </w:rPr>
              <w:t>3.2.3.1.</w:t>
            </w:r>
            <w:r w:rsidRPr="0081375C">
              <w:rPr>
                <w:rStyle w:val="Hipervnculo"/>
                <w:rFonts w:eastAsia="Aptos"/>
                <w:bCs/>
              </w:rPr>
              <w:t xml:space="preserve"> Seguimiento Jurídico</w:t>
            </w:r>
            <w:r w:rsidRPr="0081375C">
              <w:rPr>
                <w:webHidden/>
              </w:rPr>
              <w:tab/>
            </w:r>
            <w:r w:rsidRPr="0081375C">
              <w:rPr>
                <w:webHidden/>
              </w:rPr>
              <w:fldChar w:fldCharType="begin"/>
            </w:r>
            <w:r w:rsidRPr="0081375C">
              <w:rPr>
                <w:webHidden/>
              </w:rPr>
              <w:instrText xml:space="preserve"> PAGEREF _Toc233304195 \h </w:instrText>
            </w:r>
            <w:r w:rsidRPr="0081375C">
              <w:rPr>
                <w:webHidden/>
              </w:rPr>
            </w:r>
            <w:r w:rsidRPr="0081375C">
              <w:rPr>
                <w:webHidden/>
              </w:rPr>
              <w:fldChar w:fldCharType="separate"/>
            </w:r>
            <w:r w:rsidRPr="0081375C">
              <w:rPr>
                <w:webHidden/>
              </w:rPr>
              <w:t>81</w:t>
            </w:r>
            <w:r w:rsidRPr="0081375C">
              <w:rPr>
                <w:webHidden/>
              </w:rPr>
              <w:fldChar w:fldCharType="end"/>
            </w:r>
          </w:hyperlink>
        </w:p>
        <w:p w14:paraId="20A6719F" w14:textId="3E0FBE71"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6" w:history="1">
            <w:r w:rsidRPr="0081375C">
              <w:rPr>
                <w:rStyle w:val="Hipervnculo"/>
                <w:rFonts w:eastAsia="Aptos"/>
              </w:rPr>
              <w:t>3.2.3.2.</w:t>
            </w:r>
            <w:r w:rsidRPr="0081375C">
              <w:rPr>
                <w:rStyle w:val="Hipervnculo"/>
                <w:rFonts w:eastAsia="Aptos"/>
                <w:bCs/>
              </w:rPr>
              <w:t xml:space="preserve"> Seguimiento Técnico e Informe de Seguimiento Trimestral</w:t>
            </w:r>
            <w:r w:rsidRPr="0081375C">
              <w:rPr>
                <w:webHidden/>
              </w:rPr>
              <w:tab/>
            </w:r>
            <w:r w:rsidRPr="0081375C">
              <w:rPr>
                <w:webHidden/>
              </w:rPr>
              <w:fldChar w:fldCharType="begin"/>
            </w:r>
            <w:r w:rsidRPr="0081375C">
              <w:rPr>
                <w:webHidden/>
              </w:rPr>
              <w:instrText xml:space="preserve"> PAGEREF _Toc233304196 \h </w:instrText>
            </w:r>
            <w:r w:rsidRPr="0081375C">
              <w:rPr>
                <w:webHidden/>
              </w:rPr>
            </w:r>
            <w:r w:rsidRPr="0081375C">
              <w:rPr>
                <w:webHidden/>
              </w:rPr>
              <w:fldChar w:fldCharType="separate"/>
            </w:r>
            <w:r w:rsidRPr="0081375C">
              <w:rPr>
                <w:webHidden/>
              </w:rPr>
              <w:t>82</w:t>
            </w:r>
            <w:r w:rsidRPr="0081375C">
              <w:rPr>
                <w:webHidden/>
              </w:rPr>
              <w:fldChar w:fldCharType="end"/>
            </w:r>
          </w:hyperlink>
        </w:p>
        <w:p w14:paraId="2C61A925" w14:textId="7ABAA4DC"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197" w:history="1">
            <w:r w:rsidRPr="0081375C">
              <w:rPr>
                <w:rStyle w:val="Hipervnculo"/>
                <w:rFonts w:eastAsia="Aptos"/>
              </w:rPr>
              <w:t>3.2.4. Procedimiento de Incumplimientos y Sanciones</w:t>
            </w:r>
            <w:r w:rsidRPr="0081375C">
              <w:rPr>
                <w:webHidden/>
              </w:rPr>
              <w:tab/>
            </w:r>
            <w:r w:rsidRPr="0081375C">
              <w:rPr>
                <w:webHidden/>
              </w:rPr>
              <w:fldChar w:fldCharType="begin"/>
            </w:r>
            <w:r w:rsidRPr="0081375C">
              <w:rPr>
                <w:webHidden/>
              </w:rPr>
              <w:instrText xml:space="preserve"> PAGEREF _Toc233304197 \h </w:instrText>
            </w:r>
            <w:r w:rsidRPr="0081375C">
              <w:rPr>
                <w:webHidden/>
              </w:rPr>
            </w:r>
            <w:r w:rsidRPr="0081375C">
              <w:rPr>
                <w:webHidden/>
              </w:rPr>
              <w:fldChar w:fldCharType="separate"/>
            </w:r>
            <w:r w:rsidRPr="0081375C">
              <w:rPr>
                <w:webHidden/>
              </w:rPr>
              <w:t>84</w:t>
            </w:r>
            <w:r w:rsidRPr="0081375C">
              <w:rPr>
                <w:webHidden/>
              </w:rPr>
              <w:fldChar w:fldCharType="end"/>
            </w:r>
          </w:hyperlink>
        </w:p>
        <w:p w14:paraId="39A2B5C0" w14:textId="5297E956"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8" w:history="1">
            <w:r w:rsidRPr="0081375C">
              <w:rPr>
                <w:rStyle w:val="Hipervnculo"/>
                <w:rFonts w:eastAsia="Aptos"/>
                <w:bCs/>
              </w:rPr>
              <w:t>Tipificación de las Faltas</w:t>
            </w:r>
            <w:r w:rsidRPr="0081375C">
              <w:rPr>
                <w:webHidden/>
              </w:rPr>
              <w:tab/>
            </w:r>
            <w:r w:rsidRPr="0081375C">
              <w:rPr>
                <w:webHidden/>
              </w:rPr>
              <w:fldChar w:fldCharType="begin"/>
            </w:r>
            <w:r w:rsidRPr="0081375C">
              <w:rPr>
                <w:webHidden/>
              </w:rPr>
              <w:instrText xml:space="preserve"> PAGEREF _Toc233304198 \h </w:instrText>
            </w:r>
            <w:r w:rsidRPr="0081375C">
              <w:rPr>
                <w:webHidden/>
              </w:rPr>
            </w:r>
            <w:r w:rsidRPr="0081375C">
              <w:rPr>
                <w:webHidden/>
              </w:rPr>
              <w:fldChar w:fldCharType="separate"/>
            </w:r>
            <w:r w:rsidRPr="0081375C">
              <w:rPr>
                <w:webHidden/>
              </w:rPr>
              <w:t>84</w:t>
            </w:r>
            <w:r w:rsidRPr="0081375C">
              <w:rPr>
                <w:webHidden/>
              </w:rPr>
              <w:fldChar w:fldCharType="end"/>
            </w:r>
          </w:hyperlink>
        </w:p>
        <w:p w14:paraId="32236144" w14:textId="1BE53B43"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199" w:history="1">
            <w:r w:rsidRPr="0081375C">
              <w:rPr>
                <w:rStyle w:val="Hipervnculo"/>
                <w:rFonts w:eastAsia="Aptos"/>
              </w:rPr>
              <w:t>3.2.4.1.</w:t>
            </w:r>
            <w:r w:rsidRPr="0081375C">
              <w:rPr>
                <w:rStyle w:val="Hipervnculo"/>
                <w:rFonts w:eastAsia="Aptos"/>
                <w:bCs/>
              </w:rPr>
              <w:t xml:space="preserve"> Procedimiento de Control y Seguimiento (Ruta Sancionatoria)</w:t>
            </w:r>
            <w:r w:rsidRPr="0081375C">
              <w:rPr>
                <w:webHidden/>
              </w:rPr>
              <w:tab/>
            </w:r>
            <w:r w:rsidRPr="0081375C">
              <w:rPr>
                <w:webHidden/>
              </w:rPr>
              <w:fldChar w:fldCharType="begin"/>
            </w:r>
            <w:r w:rsidRPr="0081375C">
              <w:rPr>
                <w:webHidden/>
              </w:rPr>
              <w:instrText xml:space="preserve"> PAGEREF _Toc233304199 \h </w:instrText>
            </w:r>
            <w:r w:rsidRPr="0081375C">
              <w:rPr>
                <w:webHidden/>
              </w:rPr>
            </w:r>
            <w:r w:rsidRPr="0081375C">
              <w:rPr>
                <w:webHidden/>
              </w:rPr>
              <w:fldChar w:fldCharType="separate"/>
            </w:r>
            <w:r w:rsidRPr="0081375C">
              <w:rPr>
                <w:webHidden/>
              </w:rPr>
              <w:t>85</w:t>
            </w:r>
            <w:r w:rsidRPr="0081375C">
              <w:rPr>
                <w:webHidden/>
              </w:rPr>
              <w:fldChar w:fldCharType="end"/>
            </w:r>
          </w:hyperlink>
        </w:p>
        <w:p w14:paraId="1257315E" w14:textId="7C856E65"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200" w:history="1">
            <w:r w:rsidRPr="0081375C">
              <w:rPr>
                <w:rStyle w:val="Hipervnculo"/>
                <w:rFonts w:eastAsia="Aptos"/>
              </w:rPr>
              <w:t>3.2.4.2.</w:t>
            </w:r>
            <w:r w:rsidRPr="0081375C">
              <w:rPr>
                <w:rStyle w:val="Hipervnculo"/>
                <w:rFonts w:eastAsia="Aptos"/>
                <w:bCs/>
              </w:rPr>
              <w:t xml:space="preserve"> Restitución de Valores y Responsabilidad civil</w:t>
            </w:r>
            <w:r w:rsidRPr="0081375C">
              <w:rPr>
                <w:webHidden/>
              </w:rPr>
              <w:tab/>
            </w:r>
            <w:r w:rsidRPr="0081375C">
              <w:rPr>
                <w:webHidden/>
              </w:rPr>
              <w:fldChar w:fldCharType="begin"/>
            </w:r>
            <w:r w:rsidRPr="0081375C">
              <w:rPr>
                <w:webHidden/>
              </w:rPr>
              <w:instrText xml:space="preserve"> PAGEREF _Toc233304200 \h </w:instrText>
            </w:r>
            <w:r w:rsidRPr="0081375C">
              <w:rPr>
                <w:webHidden/>
              </w:rPr>
            </w:r>
            <w:r w:rsidRPr="0081375C">
              <w:rPr>
                <w:webHidden/>
              </w:rPr>
              <w:fldChar w:fldCharType="separate"/>
            </w:r>
            <w:r w:rsidRPr="0081375C">
              <w:rPr>
                <w:webHidden/>
              </w:rPr>
              <w:t>86</w:t>
            </w:r>
            <w:r w:rsidRPr="0081375C">
              <w:rPr>
                <w:webHidden/>
              </w:rPr>
              <w:fldChar w:fldCharType="end"/>
            </w:r>
          </w:hyperlink>
        </w:p>
        <w:p w14:paraId="360D9773" w14:textId="78B50ECC"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201" w:history="1">
            <w:r w:rsidRPr="0081375C">
              <w:rPr>
                <w:rStyle w:val="Hipervnculo"/>
                <w:rFonts w:eastAsia="Aptos"/>
              </w:rPr>
              <w:t>3.2.4.3.</w:t>
            </w:r>
            <w:r w:rsidRPr="0081375C">
              <w:rPr>
                <w:rStyle w:val="Hipervnculo"/>
                <w:rFonts w:eastAsia="Aptos"/>
                <w:bCs/>
              </w:rPr>
              <w:t xml:space="preserve"> Inhabilidades Posteriores</w:t>
            </w:r>
            <w:r w:rsidRPr="0081375C">
              <w:rPr>
                <w:webHidden/>
              </w:rPr>
              <w:tab/>
            </w:r>
            <w:r w:rsidRPr="0081375C">
              <w:rPr>
                <w:webHidden/>
              </w:rPr>
              <w:fldChar w:fldCharType="begin"/>
            </w:r>
            <w:r w:rsidRPr="0081375C">
              <w:rPr>
                <w:webHidden/>
              </w:rPr>
              <w:instrText xml:space="preserve"> PAGEREF _Toc233304201 \h </w:instrText>
            </w:r>
            <w:r w:rsidRPr="0081375C">
              <w:rPr>
                <w:webHidden/>
              </w:rPr>
            </w:r>
            <w:r w:rsidRPr="0081375C">
              <w:rPr>
                <w:webHidden/>
              </w:rPr>
              <w:fldChar w:fldCharType="separate"/>
            </w:r>
            <w:r w:rsidRPr="0081375C">
              <w:rPr>
                <w:webHidden/>
              </w:rPr>
              <w:t>87</w:t>
            </w:r>
            <w:r w:rsidRPr="0081375C">
              <w:rPr>
                <w:webHidden/>
              </w:rPr>
              <w:fldChar w:fldCharType="end"/>
            </w:r>
          </w:hyperlink>
        </w:p>
        <w:p w14:paraId="4277E860" w14:textId="53DD84FB"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202" w:history="1">
            <w:r w:rsidRPr="0081375C">
              <w:rPr>
                <w:rStyle w:val="Hipervnculo"/>
                <w:rFonts w:eastAsia="Aptos"/>
              </w:rPr>
              <w:t>3.2.4.4.</w:t>
            </w:r>
            <w:r w:rsidRPr="0081375C">
              <w:rPr>
                <w:rStyle w:val="Hipervnculo"/>
                <w:rFonts w:eastAsia="Aptos"/>
                <w:bCs/>
              </w:rPr>
              <w:t xml:space="preserve"> Predios en Proindiviso</w:t>
            </w:r>
            <w:r w:rsidRPr="0081375C">
              <w:rPr>
                <w:webHidden/>
              </w:rPr>
              <w:tab/>
            </w:r>
            <w:r w:rsidRPr="0081375C">
              <w:rPr>
                <w:webHidden/>
              </w:rPr>
              <w:fldChar w:fldCharType="begin"/>
            </w:r>
            <w:r w:rsidRPr="0081375C">
              <w:rPr>
                <w:webHidden/>
              </w:rPr>
              <w:instrText xml:space="preserve"> PAGEREF _Toc233304202 \h </w:instrText>
            </w:r>
            <w:r w:rsidRPr="0081375C">
              <w:rPr>
                <w:webHidden/>
              </w:rPr>
            </w:r>
            <w:r w:rsidRPr="0081375C">
              <w:rPr>
                <w:webHidden/>
              </w:rPr>
              <w:fldChar w:fldCharType="separate"/>
            </w:r>
            <w:r w:rsidRPr="0081375C">
              <w:rPr>
                <w:webHidden/>
              </w:rPr>
              <w:t>87</w:t>
            </w:r>
            <w:r w:rsidRPr="0081375C">
              <w:rPr>
                <w:webHidden/>
              </w:rPr>
              <w:fldChar w:fldCharType="end"/>
            </w:r>
          </w:hyperlink>
        </w:p>
        <w:p w14:paraId="0D1A7D4D" w14:textId="59C6B2D7"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03" w:history="1">
            <w:r w:rsidRPr="0081375C">
              <w:rPr>
                <w:rStyle w:val="Hipervnculo"/>
                <w:rFonts w:eastAsia="Aptos"/>
              </w:rPr>
              <w:t>3.2.5. Informe de Seguimiento Trimestral</w:t>
            </w:r>
            <w:r w:rsidRPr="0081375C">
              <w:rPr>
                <w:webHidden/>
              </w:rPr>
              <w:tab/>
            </w:r>
            <w:r w:rsidRPr="0081375C">
              <w:rPr>
                <w:webHidden/>
              </w:rPr>
              <w:fldChar w:fldCharType="begin"/>
            </w:r>
            <w:r w:rsidRPr="0081375C">
              <w:rPr>
                <w:webHidden/>
              </w:rPr>
              <w:instrText xml:space="preserve"> PAGEREF _Toc233304203 \h </w:instrText>
            </w:r>
            <w:r w:rsidRPr="0081375C">
              <w:rPr>
                <w:webHidden/>
              </w:rPr>
            </w:r>
            <w:r w:rsidRPr="0081375C">
              <w:rPr>
                <w:webHidden/>
              </w:rPr>
              <w:fldChar w:fldCharType="separate"/>
            </w:r>
            <w:r w:rsidRPr="0081375C">
              <w:rPr>
                <w:webHidden/>
              </w:rPr>
              <w:t>87</w:t>
            </w:r>
            <w:r w:rsidRPr="0081375C">
              <w:rPr>
                <w:webHidden/>
              </w:rPr>
              <w:fldChar w:fldCharType="end"/>
            </w:r>
          </w:hyperlink>
        </w:p>
        <w:p w14:paraId="4C459EF5" w14:textId="2B4D98E0"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04" w:history="1">
            <w:r w:rsidRPr="0081375C">
              <w:rPr>
                <w:rStyle w:val="Hipervnculo"/>
                <w:rFonts w:eastAsia="Aptos"/>
              </w:rPr>
              <w:t>3.2.6. Reconocimiento del Pago por Servicios Ambientales</w:t>
            </w:r>
            <w:r w:rsidRPr="0081375C">
              <w:rPr>
                <w:webHidden/>
              </w:rPr>
              <w:tab/>
            </w:r>
            <w:r w:rsidRPr="0081375C">
              <w:rPr>
                <w:webHidden/>
              </w:rPr>
              <w:fldChar w:fldCharType="begin"/>
            </w:r>
            <w:r w:rsidRPr="0081375C">
              <w:rPr>
                <w:webHidden/>
              </w:rPr>
              <w:instrText xml:space="preserve"> PAGEREF _Toc233304204 \h </w:instrText>
            </w:r>
            <w:r w:rsidRPr="0081375C">
              <w:rPr>
                <w:webHidden/>
              </w:rPr>
            </w:r>
            <w:r w:rsidRPr="0081375C">
              <w:rPr>
                <w:webHidden/>
              </w:rPr>
              <w:fldChar w:fldCharType="separate"/>
            </w:r>
            <w:r w:rsidRPr="0081375C">
              <w:rPr>
                <w:webHidden/>
              </w:rPr>
              <w:t>89</w:t>
            </w:r>
            <w:r w:rsidRPr="0081375C">
              <w:rPr>
                <w:webHidden/>
              </w:rPr>
              <w:fldChar w:fldCharType="end"/>
            </w:r>
          </w:hyperlink>
        </w:p>
        <w:p w14:paraId="25EFE862" w14:textId="0E20DBDD" w:rsidR="00B9105C" w:rsidRPr="0081375C" w:rsidRDefault="00B9105C">
          <w:pPr>
            <w:pStyle w:val="TDC4"/>
            <w:rPr>
              <w:rFonts w:asciiTheme="minorHAnsi" w:eastAsiaTheme="minorEastAsia" w:hAnsiTheme="minorHAnsi" w:cstheme="minorBidi"/>
              <w:color w:val="auto"/>
              <w:kern w:val="2"/>
              <w:sz w:val="24"/>
              <w:szCs w:val="24"/>
              <w14:ligatures w14:val="standardContextual"/>
            </w:rPr>
          </w:pPr>
          <w:hyperlink w:anchor="_Toc233304205" w:history="1">
            <w:r w:rsidRPr="0081375C">
              <w:rPr>
                <w:rStyle w:val="Hipervnculo"/>
              </w:rPr>
              <w:t>3.2.6.1.</w:t>
            </w:r>
            <w:r w:rsidRPr="0081375C">
              <w:rPr>
                <w:rStyle w:val="Hipervnculo"/>
                <w:rFonts w:eastAsia="Aptos"/>
                <w:bCs/>
              </w:rPr>
              <w:t xml:space="preserve"> Procedimiento para el Pago</w:t>
            </w:r>
            <w:r w:rsidRPr="0081375C">
              <w:rPr>
                <w:webHidden/>
              </w:rPr>
              <w:tab/>
            </w:r>
            <w:r w:rsidRPr="0081375C">
              <w:rPr>
                <w:webHidden/>
              </w:rPr>
              <w:fldChar w:fldCharType="begin"/>
            </w:r>
            <w:r w:rsidRPr="0081375C">
              <w:rPr>
                <w:webHidden/>
              </w:rPr>
              <w:instrText xml:space="preserve"> PAGEREF _Toc233304205 \h </w:instrText>
            </w:r>
            <w:r w:rsidRPr="0081375C">
              <w:rPr>
                <w:webHidden/>
              </w:rPr>
            </w:r>
            <w:r w:rsidRPr="0081375C">
              <w:rPr>
                <w:webHidden/>
              </w:rPr>
              <w:fldChar w:fldCharType="separate"/>
            </w:r>
            <w:r w:rsidRPr="0081375C">
              <w:rPr>
                <w:webHidden/>
              </w:rPr>
              <w:t>90</w:t>
            </w:r>
            <w:r w:rsidRPr="0081375C">
              <w:rPr>
                <w:webHidden/>
              </w:rPr>
              <w:fldChar w:fldCharType="end"/>
            </w:r>
          </w:hyperlink>
        </w:p>
        <w:p w14:paraId="7FB2C719" w14:textId="09CB026D"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06" w:history="1">
            <w:r w:rsidRPr="0081375C">
              <w:rPr>
                <w:rStyle w:val="Hipervnculo"/>
                <w:rFonts w:eastAsia="Aptos"/>
              </w:rPr>
              <w:t>3.2.7. Registro de Predios ante Autoridad Ambiental</w:t>
            </w:r>
            <w:r w:rsidRPr="0081375C">
              <w:rPr>
                <w:webHidden/>
              </w:rPr>
              <w:tab/>
            </w:r>
            <w:r w:rsidRPr="0081375C">
              <w:rPr>
                <w:webHidden/>
              </w:rPr>
              <w:fldChar w:fldCharType="begin"/>
            </w:r>
            <w:r w:rsidRPr="0081375C">
              <w:rPr>
                <w:webHidden/>
              </w:rPr>
              <w:instrText xml:space="preserve"> PAGEREF _Toc233304206 \h </w:instrText>
            </w:r>
            <w:r w:rsidRPr="0081375C">
              <w:rPr>
                <w:webHidden/>
              </w:rPr>
            </w:r>
            <w:r w:rsidRPr="0081375C">
              <w:rPr>
                <w:webHidden/>
              </w:rPr>
              <w:fldChar w:fldCharType="separate"/>
            </w:r>
            <w:r w:rsidRPr="0081375C">
              <w:rPr>
                <w:webHidden/>
              </w:rPr>
              <w:t>92</w:t>
            </w:r>
            <w:r w:rsidRPr="0081375C">
              <w:rPr>
                <w:webHidden/>
              </w:rPr>
              <w:fldChar w:fldCharType="end"/>
            </w:r>
          </w:hyperlink>
        </w:p>
        <w:p w14:paraId="088CFF93" w14:textId="51049644" w:rsidR="00B9105C" w:rsidRPr="0081375C" w:rsidRDefault="00B9105C">
          <w:pPr>
            <w:pStyle w:val="TDC2"/>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07" w:history="1">
            <w:r w:rsidRPr="0081375C">
              <w:rPr>
                <w:rStyle w:val="Hipervnculo"/>
                <w:rFonts w:eastAsia="Aptos"/>
              </w:rPr>
              <w:t>3.3. Seguimiento y evaluación de proyectos de Pago por Servicios Ambientales</w:t>
            </w:r>
            <w:r w:rsidRPr="0081375C">
              <w:rPr>
                <w:webHidden/>
              </w:rPr>
              <w:tab/>
            </w:r>
            <w:r w:rsidRPr="0081375C">
              <w:rPr>
                <w:webHidden/>
              </w:rPr>
              <w:fldChar w:fldCharType="begin"/>
            </w:r>
            <w:r w:rsidRPr="0081375C">
              <w:rPr>
                <w:webHidden/>
              </w:rPr>
              <w:instrText xml:space="preserve"> PAGEREF _Toc233304207 \h </w:instrText>
            </w:r>
            <w:r w:rsidRPr="0081375C">
              <w:rPr>
                <w:webHidden/>
              </w:rPr>
            </w:r>
            <w:r w:rsidRPr="0081375C">
              <w:rPr>
                <w:webHidden/>
              </w:rPr>
              <w:fldChar w:fldCharType="separate"/>
            </w:r>
            <w:r w:rsidRPr="0081375C">
              <w:rPr>
                <w:webHidden/>
              </w:rPr>
              <w:t>94</w:t>
            </w:r>
            <w:r w:rsidRPr="0081375C">
              <w:rPr>
                <w:webHidden/>
              </w:rPr>
              <w:fldChar w:fldCharType="end"/>
            </w:r>
          </w:hyperlink>
        </w:p>
        <w:p w14:paraId="243556B0" w14:textId="4856C287"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08" w:history="1">
            <w:r w:rsidRPr="0081375C">
              <w:rPr>
                <w:rStyle w:val="Hipervnculo"/>
                <w:rFonts w:eastAsia="Aptos"/>
              </w:rPr>
              <w:t>3.3.1. Teoría del Cambio para la Evaluación</w:t>
            </w:r>
            <w:r w:rsidRPr="0081375C">
              <w:rPr>
                <w:webHidden/>
              </w:rPr>
              <w:tab/>
            </w:r>
            <w:r w:rsidRPr="0081375C">
              <w:rPr>
                <w:webHidden/>
              </w:rPr>
              <w:fldChar w:fldCharType="begin"/>
            </w:r>
            <w:r w:rsidRPr="0081375C">
              <w:rPr>
                <w:webHidden/>
              </w:rPr>
              <w:instrText xml:space="preserve"> PAGEREF _Toc233304208 \h </w:instrText>
            </w:r>
            <w:r w:rsidRPr="0081375C">
              <w:rPr>
                <w:webHidden/>
              </w:rPr>
            </w:r>
            <w:r w:rsidRPr="0081375C">
              <w:rPr>
                <w:webHidden/>
              </w:rPr>
              <w:fldChar w:fldCharType="separate"/>
            </w:r>
            <w:r w:rsidRPr="0081375C">
              <w:rPr>
                <w:webHidden/>
              </w:rPr>
              <w:t>95</w:t>
            </w:r>
            <w:r w:rsidRPr="0081375C">
              <w:rPr>
                <w:webHidden/>
              </w:rPr>
              <w:fldChar w:fldCharType="end"/>
            </w:r>
          </w:hyperlink>
        </w:p>
        <w:p w14:paraId="2D4B5ED4" w14:textId="785AB090"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09" w:history="1">
            <w:r w:rsidRPr="0081375C">
              <w:rPr>
                <w:rStyle w:val="Hipervnculo"/>
                <w:rFonts w:eastAsia="Aptos"/>
              </w:rPr>
              <w:t>3.3.2. Evaluación Sumativa: Resultados e Impacto</w:t>
            </w:r>
            <w:r w:rsidRPr="0081375C">
              <w:rPr>
                <w:webHidden/>
              </w:rPr>
              <w:tab/>
            </w:r>
            <w:r w:rsidRPr="0081375C">
              <w:rPr>
                <w:webHidden/>
              </w:rPr>
              <w:fldChar w:fldCharType="begin"/>
            </w:r>
            <w:r w:rsidRPr="0081375C">
              <w:rPr>
                <w:webHidden/>
              </w:rPr>
              <w:instrText xml:space="preserve"> PAGEREF _Toc233304209 \h </w:instrText>
            </w:r>
            <w:r w:rsidRPr="0081375C">
              <w:rPr>
                <w:webHidden/>
              </w:rPr>
            </w:r>
            <w:r w:rsidRPr="0081375C">
              <w:rPr>
                <w:webHidden/>
              </w:rPr>
              <w:fldChar w:fldCharType="separate"/>
            </w:r>
            <w:r w:rsidRPr="0081375C">
              <w:rPr>
                <w:webHidden/>
              </w:rPr>
              <w:t>96</w:t>
            </w:r>
            <w:r w:rsidRPr="0081375C">
              <w:rPr>
                <w:webHidden/>
              </w:rPr>
              <w:fldChar w:fldCharType="end"/>
            </w:r>
          </w:hyperlink>
        </w:p>
        <w:p w14:paraId="3F81AA08" w14:textId="582EF757" w:rsidR="00B9105C" w:rsidRPr="0081375C" w:rsidRDefault="00B9105C">
          <w:pPr>
            <w:pStyle w:val="TDC3"/>
            <w:tabs>
              <w:tab w:val="right" w:leader="dot" w:pos="8636"/>
            </w:tabs>
            <w:rPr>
              <w:rFonts w:asciiTheme="minorHAnsi" w:eastAsiaTheme="minorEastAsia" w:hAnsiTheme="minorHAnsi" w:cstheme="minorBidi"/>
              <w:color w:val="auto"/>
              <w:kern w:val="2"/>
              <w:sz w:val="24"/>
              <w:szCs w:val="24"/>
              <w14:ligatures w14:val="standardContextual"/>
            </w:rPr>
          </w:pPr>
          <w:hyperlink w:anchor="_Toc233304210" w:history="1">
            <w:r w:rsidRPr="0081375C">
              <w:rPr>
                <w:rStyle w:val="Hipervnculo"/>
              </w:rPr>
              <w:t>3.3.3. Instrumentos de Monitoreo</w:t>
            </w:r>
            <w:r w:rsidRPr="0081375C">
              <w:rPr>
                <w:webHidden/>
              </w:rPr>
              <w:tab/>
            </w:r>
            <w:r w:rsidRPr="0081375C">
              <w:rPr>
                <w:webHidden/>
              </w:rPr>
              <w:fldChar w:fldCharType="begin"/>
            </w:r>
            <w:r w:rsidRPr="0081375C">
              <w:rPr>
                <w:webHidden/>
              </w:rPr>
              <w:instrText xml:space="preserve"> PAGEREF _Toc233304210 \h </w:instrText>
            </w:r>
            <w:r w:rsidRPr="0081375C">
              <w:rPr>
                <w:webHidden/>
              </w:rPr>
            </w:r>
            <w:r w:rsidRPr="0081375C">
              <w:rPr>
                <w:webHidden/>
              </w:rPr>
              <w:fldChar w:fldCharType="separate"/>
            </w:r>
            <w:r w:rsidRPr="0081375C">
              <w:rPr>
                <w:webHidden/>
              </w:rPr>
              <w:t>97</w:t>
            </w:r>
            <w:r w:rsidRPr="0081375C">
              <w:rPr>
                <w:webHidden/>
              </w:rPr>
              <w:fldChar w:fldCharType="end"/>
            </w:r>
          </w:hyperlink>
        </w:p>
        <w:p w14:paraId="6C64C587" w14:textId="01D07AC8" w:rsidR="00B9105C" w:rsidRPr="0081375C" w:rsidRDefault="00B9105C">
          <w:pPr>
            <w:pStyle w:val="TDC5"/>
            <w:tabs>
              <w:tab w:val="right" w:leader="dot" w:pos="8636"/>
            </w:tabs>
            <w:rPr>
              <w:rFonts w:asciiTheme="minorHAnsi" w:hAnsiTheme="minorHAnsi" w:cstheme="minorBidi"/>
              <w:color w:val="auto"/>
              <w:sz w:val="24"/>
            </w:rPr>
          </w:pPr>
          <w:hyperlink w:anchor="_Toc233304211" w:history="1">
            <w:r w:rsidRPr="0081375C">
              <w:rPr>
                <w:rStyle w:val="Hipervnculo"/>
                <w:rFonts w:eastAsia="Arial"/>
              </w:rPr>
              <w:t>3.3.3.1 Monitoreo Espacial De Coberturas</w:t>
            </w:r>
            <w:r w:rsidRPr="0081375C">
              <w:rPr>
                <w:webHidden/>
              </w:rPr>
              <w:tab/>
            </w:r>
            <w:r w:rsidRPr="0081375C">
              <w:rPr>
                <w:webHidden/>
              </w:rPr>
              <w:fldChar w:fldCharType="begin"/>
            </w:r>
            <w:r w:rsidRPr="0081375C">
              <w:rPr>
                <w:webHidden/>
              </w:rPr>
              <w:instrText xml:space="preserve"> PAGEREF _Toc233304211 \h </w:instrText>
            </w:r>
            <w:r w:rsidRPr="0081375C">
              <w:rPr>
                <w:webHidden/>
              </w:rPr>
            </w:r>
            <w:r w:rsidRPr="0081375C">
              <w:rPr>
                <w:webHidden/>
              </w:rPr>
              <w:fldChar w:fldCharType="separate"/>
            </w:r>
            <w:r w:rsidRPr="0081375C">
              <w:rPr>
                <w:webHidden/>
              </w:rPr>
              <w:t>97</w:t>
            </w:r>
            <w:r w:rsidRPr="0081375C">
              <w:rPr>
                <w:webHidden/>
              </w:rPr>
              <w:fldChar w:fldCharType="end"/>
            </w:r>
          </w:hyperlink>
        </w:p>
        <w:p w14:paraId="70FAB6F7" w14:textId="2D0442B5" w:rsidR="00B9105C" w:rsidRPr="0081375C" w:rsidRDefault="00B9105C">
          <w:pPr>
            <w:pStyle w:val="TDC5"/>
            <w:tabs>
              <w:tab w:val="right" w:leader="dot" w:pos="8636"/>
            </w:tabs>
            <w:rPr>
              <w:rFonts w:asciiTheme="minorHAnsi" w:hAnsiTheme="minorHAnsi" w:cstheme="minorBidi"/>
              <w:color w:val="auto"/>
              <w:sz w:val="24"/>
            </w:rPr>
          </w:pPr>
          <w:hyperlink w:anchor="_Toc233304212" w:history="1">
            <w:r w:rsidRPr="0081375C">
              <w:rPr>
                <w:rStyle w:val="Hipervnculo"/>
                <w:rFonts w:eastAsia="Arial"/>
              </w:rPr>
              <w:t>3.3.3.2 Monitoreo De Flora</w:t>
            </w:r>
            <w:r w:rsidRPr="0081375C">
              <w:rPr>
                <w:webHidden/>
              </w:rPr>
              <w:tab/>
            </w:r>
            <w:r w:rsidRPr="0081375C">
              <w:rPr>
                <w:webHidden/>
              </w:rPr>
              <w:fldChar w:fldCharType="begin"/>
            </w:r>
            <w:r w:rsidRPr="0081375C">
              <w:rPr>
                <w:webHidden/>
              </w:rPr>
              <w:instrText xml:space="preserve"> PAGEREF _Toc233304212 \h </w:instrText>
            </w:r>
            <w:r w:rsidRPr="0081375C">
              <w:rPr>
                <w:webHidden/>
              </w:rPr>
            </w:r>
            <w:r w:rsidRPr="0081375C">
              <w:rPr>
                <w:webHidden/>
              </w:rPr>
              <w:fldChar w:fldCharType="separate"/>
            </w:r>
            <w:r w:rsidRPr="0081375C">
              <w:rPr>
                <w:webHidden/>
              </w:rPr>
              <w:t>97</w:t>
            </w:r>
            <w:r w:rsidRPr="0081375C">
              <w:rPr>
                <w:webHidden/>
              </w:rPr>
              <w:fldChar w:fldCharType="end"/>
            </w:r>
          </w:hyperlink>
        </w:p>
        <w:p w14:paraId="5D4A035C" w14:textId="1FF37F73" w:rsidR="00B9105C" w:rsidRPr="0081375C" w:rsidRDefault="00B9105C">
          <w:pPr>
            <w:pStyle w:val="TDC5"/>
            <w:tabs>
              <w:tab w:val="right" w:leader="dot" w:pos="8636"/>
            </w:tabs>
            <w:rPr>
              <w:rFonts w:asciiTheme="minorHAnsi" w:hAnsiTheme="minorHAnsi" w:cstheme="minorBidi"/>
              <w:color w:val="auto"/>
              <w:sz w:val="24"/>
            </w:rPr>
          </w:pPr>
          <w:hyperlink w:anchor="_Toc233304213" w:history="1">
            <w:r w:rsidRPr="0081375C">
              <w:rPr>
                <w:rStyle w:val="Hipervnculo"/>
                <w:rFonts w:eastAsia="Arial"/>
              </w:rPr>
              <w:t>3.3.3.3 Monitoreo De Fauna</w:t>
            </w:r>
            <w:r w:rsidRPr="0081375C">
              <w:rPr>
                <w:webHidden/>
              </w:rPr>
              <w:tab/>
            </w:r>
            <w:r w:rsidRPr="0081375C">
              <w:rPr>
                <w:webHidden/>
              </w:rPr>
              <w:fldChar w:fldCharType="begin"/>
            </w:r>
            <w:r w:rsidRPr="0081375C">
              <w:rPr>
                <w:webHidden/>
              </w:rPr>
              <w:instrText xml:space="preserve"> PAGEREF _Toc233304213 \h </w:instrText>
            </w:r>
            <w:r w:rsidRPr="0081375C">
              <w:rPr>
                <w:webHidden/>
              </w:rPr>
            </w:r>
            <w:r w:rsidRPr="0081375C">
              <w:rPr>
                <w:webHidden/>
              </w:rPr>
              <w:fldChar w:fldCharType="separate"/>
            </w:r>
            <w:r w:rsidRPr="0081375C">
              <w:rPr>
                <w:webHidden/>
              </w:rPr>
              <w:t>97</w:t>
            </w:r>
            <w:r w:rsidRPr="0081375C">
              <w:rPr>
                <w:webHidden/>
              </w:rPr>
              <w:fldChar w:fldCharType="end"/>
            </w:r>
          </w:hyperlink>
        </w:p>
        <w:p w14:paraId="7B6FD455" w14:textId="03874C19" w:rsidR="00B9105C" w:rsidRPr="0081375C" w:rsidRDefault="00B9105C">
          <w:pPr>
            <w:pStyle w:val="TDC5"/>
            <w:tabs>
              <w:tab w:val="right" w:leader="dot" w:pos="8636"/>
            </w:tabs>
            <w:rPr>
              <w:rFonts w:asciiTheme="minorHAnsi" w:hAnsiTheme="minorHAnsi" w:cstheme="minorBidi"/>
              <w:color w:val="auto"/>
              <w:sz w:val="24"/>
            </w:rPr>
          </w:pPr>
          <w:hyperlink w:anchor="_Toc233304214" w:history="1">
            <w:r w:rsidRPr="0081375C">
              <w:rPr>
                <w:rStyle w:val="Hipervnculo"/>
                <w:rFonts w:eastAsia="Arial"/>
              </w:rPr>
              <w:t>3.3.3.4 Monitoreo Hídrico</w:t>
            </w:r>
            <w:r w:rsidRPr="0081375C">
              <w:rPr>
                <w:webHidden/>
              </w:rPr>
              <w:tab/>
            </w:r>
            <w:r w:rsidRPr="0081375C">
              <w:rPr>
                <w:webHidden/>
              </w:rPr>
              <w:fldChar w:fldCharType="begin"/>
            </w:r>
            <w:r w:rsidRPr="0081375C">
              <w:rPr>
                <w:webHidden/>
              </w:rPr>
              <w:instrText xml:space="preserve"> PAGEREF _Toc233304214 \h </w:instrText>
            </w:r>
            <w:r w:rsidRPr="0081375C">
              <w:rPr>
                <w:webHidden/>
              </w:rPr>
            </w:r>
            <w:r w:rsidRPr="0081375C">
              <w:rPr>
                <w:webHidden/>
              </w:rPr>
              <w:fldChar w:fldCharType="separate"/>
            </w:r>
            <w:r w:rsidRPr="0081375C">
              <w:rPr>
                <w:webHidden/>
              </w:rPr>
              <w:t>98</w:t>
            </w:r>
            <w:r w:rsidRPr="0081375C">
              <w:rPr>
                <w:webHidden/>
              </w:rPr>
              <w:fldChar w:fldCharType="end"/>
            </w:r>
          </w:hyperlink>
        </w:p>
        <w:p w14:paraId="0C31C103" w14:textId="3D8C538D" w:rsidR="00B9105C" w:rsidRPr="0081375C" w:rsidRDefault="00B9105C">
          <w:pPr>
            <w:pStyle w:val="TDC5"/>
            <w:tabs>
              <w:tab w:val="right" w:leader="dot" w:pos="8636"/>
            </w:tabs>
            <w:rPr>
              <w:rFonts w:asciiTheme="minorHAnsi" w:hAnsiTheme="minorHAnsi" w:cstheme="minorBidi"/>
              <w:color w:val="auto"/>
              <w:sz w:val="24"/>
            </w:rPr>
          </w:pPr>
          <w:hyperlink w:anchor="_Toc233304215" w:history="1">
            <w:r w:rsidRPr="0081375C">
              <w:rPr>
                <w:rStyle w:val="Hipervnculo"/>
                <w:rFonts w:eastAsia="Arial"/>
              </w:rPr>
              <w:t>3.3.4 Efectividad Ecológica</w:t>
            </w:r>
            <w:r w:rsidRPr="0081375C">
              <w:rPr>
                <w:webHidden/>
              </w:rPr>
              <w:tab/>
            </w:r>
            <w:r w:rsidRPr="0081375C">
              <w:rPr>
                <w:webHidden/>
              </w:rPr>
              <w:fldChar w:fldCharType="begin"/>
            </w:r>
            <w:r w:rsidRPr="0081375C">
              <w:rPr>
                <w:webHidden/>
              </w:rPr>
              <w:instrText xml:space="preserve"> PAGEREF _Toc233304215 \h </w:instrText>
            </w:r>
            <w:r w:rsidRPr="0081375C">
              <w:rPr>
                <w:webHidden/>
              </w:rPr>
            </w:r>
            <w:r w:rsidRPr="0081375C">
              <w:rPr>
                <w:webHidden/>
              </w:rPr>
              <w:fldChar w:fldCharType="separate"/>
            </w:r>
            <w:r w:rsidRPr="0081375C">
              <w:rPr>
                <w:webHidden/>
              </w:rPr>
              <w:t>98</w:t>
            </w:r>
            <w:r w:rsidRPr="0081375C">
              <w:rPr>
                <w:webHidden/>
              </w:rPr>
              <w:fldChar w:fldCharType="end"/>
            </w:r>
          </w:hyperlink>
        </w:p>
        <w:p w14:paraId="7385F499" w14:textId="6BC63494" w:rsidR="00825D4D" w:rsidRPr="0081375C" w:rsidRDefault="002374D8" w:rsidP="00CD300E">
          <w:pPr>
            <w:pStyle w:val="TDC3"/>
            <w:tabs>
              <w:tab w:val="right" w:leader="dot" w:pos="8636"/>
            </w:tabs>
            <w:spacing w:after="0" w:line="23" w:lineRule="atLeast"/>
            <w:ind w:left="0"/>
            <w:jc w:val="both"/>
            <w:rPr>
              <w:color w:val="000000" w:themeColor="text1"/>
              <w:kern w:val="2"/>
              <w:sz w:val="24"/>
              <w14:ligatures w14:val="standardContextual"/>
            </w:rPr>
          </w:pPr>
          <w:r w:rsidRPr="0081375C">
            <w:rPr>
              <w:rStyle w:val="IndexLink"/>
              <w:color w:val="000000" w:themeColor="text1"/>
            </w:rPr>
            <w:fldChar w:fldCharType="end"/>
          </w:r>
        </w:p>
      </w:sdtContent>
    </w:sdt>
    <w:p w14:paraId="34C78B15" w14:textId="77777777" w:rsidR="00825D4D" w:rsidRPr="0081375C" w:rsidRDefault="00806784" w:rsidP="003F6B53">
      <w:pPr>
        <w:spacing w:line="23" w:lineRule="atLeast"/>
        <w:jc w:val="both"/>
        <w:rPr>
          <w:rFonts w:ascii="Arial" w:eastAsia="Times New Roman" w:hAnsi="Arial" w:cs="Arial"/>
          <w:b/>
          <w:bCs/>
          <w:color w:val="000000" w:themeColor="text1"/>
          <w:sz w:val="24"/>
          <w:szCs w:val="24"/>
        </w:rPr>
      </w:pPr>
      <w:r w:rsidRPr="0081375C">
        <w:rPr>
          <w:rFonts w:ascii="Arial" w:hAnsi="Arial" w:cs="Arial"/>
          <w:color w:val="000000" w:themeColor="text1"/>
        </w:rPr>
        <w:br w:type="page"/>
      </w:r>
    </w:p>
    <w:p w14:paraId="662F850F" w14:textId="77777777" w:rsidR="00825D4D" w:rsidRPr="0081375C" w:rsidRDefault="00825D4D" w:rsidP="003F6B53">
      <w:pPr>
        <w:spacing w:line="23" w:lineRule="atLeast"/>
        <w:jc w:val="both"/>
        <w:rPr>
          <w:rFonts w:ascii="Arial" w:eastAsia="Times New Roman" w:hAnsi="Arial" w:cs="Arial"/>
          <w:b/>
          <w:bCs/>
          <w:color w:val="000000" w:themeColor="text1"/>
          <w:sz w:val="24"/>
          <w:szCs w:val="24"/>
        </w:rPr>
      </w:pPr>
    </w:p>
    <w:p w14:paraId="481087E2" w14:textId="77777777" w:rsidR="00825D4D" w:rsidRPr="0081375C" w:rsidRDefault="00806784" w:rsidP="000C4A5A">
      <w:pPr>
        <w:spacing w:line="23" w:lineRule="atLeast"/>
        <w:jc w:val="center"/>
        <w:rPr>
          <w:rFonts w:ascii="Arial" w:eastAsia="Times New Roman" w:hAnsi="Arial" w:cs="Arial"/>
          <w:b/>
          <w:color w:val="000000" w:themeColor="text1"/>
          <w:sz w:val="24"/>
          <w:szCs w:val="24"/>
        </w:rPr>
      </w:pPr>
      <w:r w:rsidRPr="0081375C">
        <w:rPr>
          <w:rFonts w:ascii="Arial" w:eastAsia="Times New Roman" w:hAnsi="Arial" w:cs="Arial"/>
          <w:b/>
          <w:color w:val="000000" w:themeColor="text1"/>
          <w:sz w:val="24"/>
          <w:szCs w:val="24"/>
        </w:rPr>
        <w:t>LISTA DE FIGURAS</w:t>
      </w:r>
    </w:p>
    <w:p w14:paraId="3D39D779" w14:textId="77777777" w:rsidR="00825D4D" w:rsidRPr="0081375C" w:rsidRDefault="00825D4D" w:rsidP="003F6B53">
      <w:pPr>
        <w:spacing w:line="23" w:lineRule="atLeast"/>
        <w:jc w:val="both"/>
        <w:rPr>
          <w:rFonts w:ascii="Arial" w:eastAsia="Times New Roman" w:hAnsi="Arial" w:cs="Arial"/>
          <w:b/>
          <w:color w:val="000000" w:themeColor="text1"/>
          <w:sz w:val="24"/>
          <w:szCs w:val="24"/>
        </w:rPr>
      </w:pPr>
    </w:p>
    <w:p w14:paraId="14A63BA6" w14:textId="6DACC75B" w:rsidR="009E42DF" w:rsidRPr="0081375C" w:rsidRDefault="002374D8">
      <w:pPr>
        <w:pStyle w:val="Tabladeilustraciones"/>
        <w:tabs>
          <w:tab w:val="right" w:leader="dot" w:pos="8636"/>
        </w:tabs>
        <w:rPr>
          <w:rFonts w:asciiTheme="minorHAnsi" w:eastAsiaTheme="minorEastAsia" w:hAnsiTheme="minorHAnsi" w:cstheme="minorBidi"/>
          <w:kern w:val="2"/>
          <w:sz w:val="24"/>
          <w:szCs w:val="24"/>
          <w14:ligatures w14:val="standardContextual"/>
        </w:rPr>
      </w:pPr>
      <w:r w:rsidRPr="0081375C">
        <w:fldChar w:fldCharType="begin"/>
      </w:r>
      <w:r w:rsidRPr="0081375C">
        <w:rPr>
          <w:rStyle w:val="IndexLink"/>
          <w:rFonts w:cs="Arial"/>
        </w:rPr>
        <w:instrText xml:space="preserve"> TOC \c "Figura" \h </w:instrText>
      </w:r>
      <w:r w:rsidRPr="0081375C">
        <w:rPr>
          <w:rStyle w:val="IndexLink"/>
          <w:rFonts w:cs="Arial"/>
        </w:rPr>
        <w:fldChar w:fldCharType="separate"/>
      </w:r>
      <w:hyperlink w:anchor="_Toc233018493" w:history="1">
        <w:r w:rsidR="009E42DF" w:rsidRPr="0081375C">
          <w:rPr>
            <w:rStyle w:val="Hipervnculo"/>
            <w:rFonts w:cs="Arial"/>
            <w:color w:val="auto"/>
          </w:rPr>
          <w:t>Figura 1. Flujograma para la Implementación de Esquemas de PSA en el Distrito de Medellín</w:t>
        </w:r>
        <w:r w:rsidR="009E42DF" w:rsidRPr="0081375C">
          <w:tab/>
        </w:r>
        <w:r w:rsidR="009E42DF" w:rsidRPr="0081375C">
          <w:fldChar w:fldCharType="begin"/>
        </w:r>
        <w:r w:rsidR="009E42DF" w:rsidRPr="0081375C">
          <w:instrText xml:space="preserve"> PAGEREF _Toc233018493 \h </w:instrText>
        </w:r>
        <w:r w:rsidR="009E42DF" w:rsidRPr="0081375C">
          <w:fldChar w:fldCharType="separate"/>
        </w:r>
        <w:r w:rsidR="00F742B6" w:rsidRPr="0081375C">
          <w:t>23</w:t>
        </w:r>
        <w:r w:rsidR="009E42DF" w:rsidRPr="0081375C">
          <w:fldChar w:fldCharType="end"/>
        </w:r>
      </w:hyperlink>
    </w:p>
    <w:p w14:paraId="484AFCF0" w14:textId="08E31C32" w:rsidR="009E42DF" w:rsidRPr="0081375C" w:rsidRDefault="009E42DF">
      <w:pPr>
        <w:pStyle w:val="Tabladeilustraciones"/>
        <w:tabs>
          <w:tab w:val="right" w:leader="dot" w:pos="8636"/>
        </w:tabs>
        <w:rPr>
          <w:rFonts w:asciiTheme="minorHAnsi" w:eastAsiaTheme="minorEastAsia" w:hAnsiTheme="minorHAnsi" w:cstheme="minorBidi"/>
          <w:kern w:val="2"/>
          <w:sz w:val="24"/>
          <w:szCs w:val="24"/>
          <w14:ligatures w14:val="standardContextual"/>
        </w:rPr>
      </w:pPr>
      <w:hyperlink w:anchor="_Toc233018494" w:history="1">
        <w:r w:rsidRPr="0081375C">
          <w:rPr>
            <w:rStyle w:val="Hipervnculo"/>
            <w:rFonts w:cs="Arial"/>
            <w:color w:val="auto"/>
          </w:rPr>
          <w:t>Figura 2</w:t>
        </w:r>
        <w:r w:rsidRPr="0081375C">
          <w:rPr>
            <w:rStyle w:val="Hipervnculo"/>
            <w:rFonts w:eastAsia="Arial" w:cs="Arial"/>
            <w:color w:val="auto"/>
          </w:rPr>
          <w:t>. Áreas del ecosistema estratégico PSAH</w:t>
        </w:r>
        <w:r w:rsidRPr="0081375C">
          <w:tab/>
        </w:r>
        <w:r w:rsidRPr="0081375C">
          <w:fldChar w:fldCharType="begin"/>
        </w:r>
        <w:r w:rsidRPr="0081375C">
          <w:instrText xml:space="preserve"> PAGEREF _Toc233018494 \h </w:instrText>
        </w:r>
        <w:r w:rsidRPr="0081375C">
          <w:fldChar w:fldCharType="separate"/>
        </w:r>
        <w:r w:rsidR="00F742B6" w:rsidRPr="0081375C">
          <w:t>26</w:t>
        </w:r>
        <w:r w:rsidRPr="0081375C">
          <w:fldChar w:fldCharType="end"/>
        </w:r>
      </w:hyperlink>
    </w:p>
    <w:p w14:paraId="7FD64E69" w14:textId="7C423CCA" w:rsidR="009E42DF" w:rsidRPr="0081375C" w:rsidRDefault="009E42DF">
      <w:pPr>
        <w:pStyle w:val="Tabladeilustraciones"/>
        <w:tabs>
          <w:tab w:val="right" w:leader="dot" w:pos="8636"/>
        </w:tabs>
        <w:rPr>
          <w:rFonts w:asciiTheme="minorHAnsi" w:eastAsiaTheme="minorEastAsia" w:hAnsiTheme="minorHAnsi" w:cstheme="minorBidi"/>
          <w:kern w:val="2"/>
          <w:sz w:val="24"/>
          <w:szCs w:val="24"/>
          <w14:ligatures w14:val="standardContextual"/>
        </w:rPr>
      </w:pPr>
      <w:hyperlink w:anchor="_Toc233018495" w:history="1">
        <w:r w:rsidRPr="0081375C">
          <w:rPr>
            <w:rStyle w:val="Hipervnculo"/>
            <w:rFonts w:cs="Arial"/>
            <w:color w:val="auto"/>
          </w:rPr>
          <w:t>Figura 3</w:t>
        </w:r>
        <w:r w:rsidRPr="0081375C">
          <w:rPr>
            <w:rStyle w:val="Hipervnculo"/>
            <w:rFonts w:eastAsia="Arial" w:cs="Arial"/>
            <w:color w:val="auto"/>
          </w:rPr>
          <w:t>. Áreas elegibles PSA Biodiversidad con el nivel de prioridad.</w:t>
        </w:r>
        <w:r w:rsidRPr="0081375C">
          <w:tab/>
        </w:r>
        <w:r w:rsidRPr="0081375C">
          <w:fldChar w:fldCharType="begin"/>
        </w:r>
        <w:r w:rsidRPr="0081375C">
          <w:instrText xml:space="preserve"> PAGEREF _Toc233018495 \h </w:instrText>
        </w:r>
        <w:r w:rsidRPr="0081375C">
          <w:fldChar w:fldCharType="separate"/>
        </w:r>
        <w:r w:rsidR="00F742B6" w:rsidRPr="0081375C">
          <w:t>37</w:t>
        </w:r>
        <w:r w:rsidRPr="0081375C">
          <w:fldChar w:fldCharType="end"/>
        </w:r>
      </w:hyperlink>
    </w:p>
    <w:p w14:paraId="5B8B206F" w14:textId="1D727B2E" w:rsidR="009E42DF" w:rsidRPr="0081375C" w:rsidRDefault="009E42DF">
      <w:pPr>
        <w:pStyle w:val="Tabladeilustraciones"/>
        <w:tabs>
          <w:tab w:val="right" w:leader="dot" w:pos="8636"/>
        </w:tabs>
        <w:rPr>
          <w:rFonts w:asciiTheme="minorHAnsi" w:eastAsiaTheme="minorEastAsia" w:hAnsiTheme="minorHAnsi" w:cstheme="minorBidi"/>
          <w:kern w:val="2"/>
          <w:sz w:val="24"/>
          <w:szCs w:val="24"/>
          <w14:ligatures w14:val="standardContextual"/>
        </w:rPr>
      </w:pPr>
      <w:hyperlink w:anchor="_Toc233018496" w:history="1">
        <w:r w:rsidRPr="0081375C">
          <w:rPr>
            <w:rStyle w:val="Hipervnculo"/>
            <w:rFonts w:cs="Arial"/>
            <w:color w:val="auto"/>
          </w:rPr>
          <w:t>Figura 4. Acciones de restauración a desarrollar, según el uso del suelo definido en el área postulada y las necesidades identificadas en cada área.</w:t>
        </w:r>
        <w:r w:rsidRPr="0081375C">
          <w:tab/>
        </w:r>
        <w:r w:rsidRPr="0081375C">
          <w:fldChar w:fldCharType="begin"/>
        </w:r>
        <w:r w:rsidRPr="0081375C">
          <w:instrText xml:space="preserve"> PAGEREF _Toc233018496 \h </w:instrText>
        </w:r>
        <w:r w:rsidRPr="0081375C">
          <w:fldChar w:fldCharType="separate"/>
        </w:r>
        <w:r w:rsidR="00F742B6" w:rsidRPr="0081375C">
          <w:t>64</w:t>
        </w:r>
        <w:r w:rsidRPr="0081375C">
          <w:fldChar w:fldCharType="end"/>
        </w:r>
      </w:hyperlink>
    </w:p>
    <w:p w14:paraId="036819C5" w14:textId="43D55E34" w:rsidR="009E42DF" w:rsidRPr="0081375C" w:rsidRDefault="009E42DF">
      <w:pPr>
        <w:pStyle w:val="Tabladeilustraciones"/>
        <w:tabs>
          <w:tab w:val="right" w:leader="dot" w:pos="8636"/>
        </w:tabs>
        <w:rPr>
          <w:rFonts w:asciiTheme="minorHAnsi" w:eastAsiaTheme="minorEastAsia" w:hAnsiTheme="minorHAnsi" w:cstheme="minorBidi"/>
          <w:kern w:val="2"/>
          <w:sz w:val="24"/>
          <w:szCs w:val="24"/>
          <w14:ligatures w14:val="standardContextual"/>
        </w:rPr>
      </w:pPr>
      <w:hyperlink w:anchor="_Toc233018497" w:history="1">
        <w:r w:rsidRPr="0081375C">
          <w:rPr>
            <w:rStyle w:val="Hipervnculo"/>
            <w:rFonts w:cs="Arial"/>
            <w:color w:val="auto"/>
          </w:rPr>
          <w:t>Figura 5. Diseño de nucleación usado por Holl et al. (2020).</w:t>
        </w:r>
        <w:r w:rsidRPr="0081375C">
          <w:tab/>
        </w:r>
        <w:r w:rsidRPr="0081375C">
          <w:fldChar w:fldCharType="begin"/>
        </w:r>
        <w:r w:rsidRPr="0081375C">
          <w:instrText xml:space="preserve"> PAGEREF _Toc233018497 \h </w:instrText>
        </w:r>
        <w:r w:rsidRPr="0081375C">
          <w:fldChar w:fldCharType="separate"/>
        </w:r>
        <w:r w:rsidR="00F742B6" w:rsidRPr="0081375C">
          <w:t>66</w:t>
        </w:r>
        <w:r w:rsidRPr="0081375C">
          <w:fldChar w:fldCharType="end"/>
        </w:r>
      </w:hyperlink>
    </w:p>
    <w:p w14:paraId="4BB14D11" w14:textId="6BA2A87A" w:rsidR="009E42DF" w:rsidRPr="0081375C" w:rsidRDefault="009E42DF">
      <w:pPr>
        <w:pStyle w:val="Tabladeilustraciones"/>
        <w:tabs>
          <w:tab w:val="right" w:leader="dot" w:pos="8636"/>
        </w:tabs>
        <w:rPr>
          <w:rFonts w:asciiTheme="minorHAnsi" w:eastAsiaTheme="minorEastAsia" w:hAnsiTheme="minorHAnsi" w:cstheme="minorBidi"/>
          <w:kern w:val="2"/>
          <w:sz w:val="24"/>
          <w:szCs w:val="24"/>
          <w14:ligatures w14:val="standardContextual"/>
        </w:rPr>
      </w:pPr>
      <w:hyperlink w:anchor="_Toc233018498" w:history="1">
        <w:r w:rsidRPr="0081375C">
          <w:rPr>
            <w:rStyle w:val="Hipervnculo"/>
            <w:rFonts w:cs="Arial"/>
            <w:color w:val="auto"/>
          </w:rPr>
          <w:t>Figura 6. Estructura del modelo de evaluación y seguimiento a esquemas de PSA</w:t>
        </w:r>
        <w:r w:rsidRPr="0081375C">
          <w:tab/>
        </w:r>
        <w:r w:rsidRPr="0081375C">
          <w:fldChar w:fldCharType="begin"/>
        </w:r>
        <w:r w:rsidRPr="0081375C">
          <w:instrText xml:space="preserve"> PAGEREF _Toc233018498 \h </w:instrText>
        </w:r>
        <w:r w:rsidRPr="0081375C">
          <w:fldChar w:fldCharType="separate"/>
        </w:r>
        <w:r w:rsidR="00F742B6" w:rsidRPr="0081375C">
          <w:t>97</w:t>
        </w:r>
        <w:r w:rsidRPr="0081375C">
          <w:fldChar w:fldCharType="end"/>
        </w:r>
      </w:hyperlink>
    </w:p>
    <w:p w14:paraId="6F0C05C9" w14:textId="6BE66F59" w:rsidR="00825D4D" w:rsidRPr="0081375C" w:rsidRDefault="002374D8" w:rsidP="003F6B53">
      <w:pPr>
        <w:pStyle w:val="Tabladeilustraciones"/>
        <w:tabs>
          <w:tab w:val="right" w:leader="dot" w:pos="8636"/>
        </w:tabs>
        <w:spacing w:line="23" w:lineRule="atLeast"/>
        <w:rPr>
          <w:kern w:val="2"/>
          <w:sz w:val="24"/>
          <w14:ligatures w14:val="standardContextual"/>
        </w:rPr>
      </w:pPr>
      <w:r w:rsidRPr="0081375C">
        <w:rPr>
          <w:rStyle w:val="IndexLink"/>
          <w:rFonts w:cs="Arial"/>
        </w:rPr>
        <w:fldChar w:fldCharType="end"/>
      </w:r>
    </w:p>
    <w:p w14:paraId="3B46DF24" w14:textId="77777777" w:rsidR="00825D4D" w:rsidRPr="0081375C" w:rsidRDefault="00825D4D" w:rsidP="003F6B53">
      <w:pPr>
        <w:spacing w:line="23" w:lineRule="atLeast"/>
        <w:jc w:val="both"/>
        <w:rPr>
          <w:rFonts w:ascii="Arial" w:eastAsia="Times New Roman" w:hAnsi="Arial" w:cs="Arial"/>
          <w:color w:val="000000" w:themeColor="text1"/>
          <w:sz w:val="24"/>
          <w:szCs w:val="24"/>
        </w:rPr>
      </w:pPr>
    </w:p>
    <w:p w14:paraId="28EB29F1" w14:textId="77777777" w:rsidR="00825D4D" w:rsidRPr="0081375C" w:rsidRDefault="00806784" w:rsidP="003F6B53">
      <w:pPr>
        <w:spacing w:line="23" w:lineRule="atLeast"/>
        <w:jc w:val="both"/>
        <w:rPr>
          <w:rFonts w:ascii="Arial" w:eastAsia="Times New Roman" w:hAnsi="Arial" w:cs="Arial"/>
          <w:b/>
          <w:bCs/>
          <w:color w:val="000000" w:themeColor="text1"/>
          <w:sz w:val="24"/>
          <w:szCs w:val="24"/>
        </w:rPr>
      </w:pPr>
      <w:r w:rsidRPr="0081375C">
        <w:rPr>
          <w:rFonts w:ascii="Arial" w:hAnsi="Arial" w:cs="Arial"/>
          <w:color w:val="000000" w:themeColor="text1"/>
        </w:rPr>
        <w:br w:type="page"/>
      </w:r>
    </w:p>
    <w:p w14:paraId="13867060" w14:textId="77777777" w:rsidR="00825D4D" w:rsidRPr="0081375C" w:rsidRDefault="00806784" w:rsidP="00E0155A">
      <w:pPr>
        <w:spacing w:line="23" w:lineRule="atLeast"/>
        <w:jc w:val="center"/>
        <w:rPr>
          <w:rFonts w:ascii="Arial" w:hAnsi="Arial"/>
          <w:b/>
          <w:color w:val="000000" w:themeColor="text1"/>
          <w:sz w:val="24"/>
        </w:rPr>
      </w:pPr>
      <w:r w:rsidRPr="0081375C">
        <w:rPr>
          <w:rFonts w:ascii="Arial" w:hAnsi="Arial"/>
          <w:b/>
          <w:color w:val="000000" w:themeColor="text1"/>
          <w:sz w:val="24"/>
        </w:rPr>
        <w:lastRenderedPageBreak/>
        <w:t>LISTA DE TABLAS</w:t>
      </w:r>
    </w:p>
    <w:p w14:paraId="2791DC4E" w14:textId="77777777" w:rsidR="00825D4D" w:rsidRPr="0081375C" w:rsidRDefault="00825D4D" w:rsidP="003F6B53">
      <w:pPr>
        <w:spacing w:line="23" w:lineRule="atLeast"/>
        <w:jc w:val="both"/>
        <w:rPr>
          <w:rFonts w:ascii="Arial" w:eastAsia="Times New Roman" w:hAnsi="Arial" w:cs="Arial"/>
          <w:bCs/>
          <w:color w:val="000000" w:themeColor="text1"/>
          <w:sz w:val="24"/>
          <w:szCs w:val="24"/>
        </w:rPr>
      </w:pPr>
    </w:p>
    <w:p w14:paraId="5D9A57FD" w14:textId="09011C56" w:rsidR="00770F7D" w:rsidRPr="0081375C" w:rsidRDefault="002374D8">
      <w:pPr>
        <w:pStyle w:val="Tabladeilustraciones"/>
        <w:tabs>
          <w:tab w:val="right" w:leader="dot" w:pos="8636"/>
        </w:tabs>
        <w:rPr>
          <w:rFonts w:asciiTheme="minorHAnsi" w:eastAsiaTheme="minorEastAsia" w:hAnsiTheme="minorHAnsi" w:cstheme="minorBidi"/>
          <w:bCs/>
          <w:kern w:val="2"/>
          <w:sz w:val="24"/>
          <w:szCs w:val="24"/>
          <w14:ligatures w14:val="standardContextual"/>
        </w:rPr>
      </w:pPr>
      <w:r w:rsidRPr="0081375C">
        <w:rPr>
          <w:bCs/>
        </w:rPr>
        <w:fldChar w:fldCharType="begin"/>
      </w:r>
      <w:r w:rsidRPr="0081375C">
        <w:rPr>
          <w:rStyle w:val="IndexLink"/>
          <w:rFonts w:cs="Arial"/>
          <w:bCs/>
          <w:color w:val="000000" w:themeColor="text1"/>
        </w:rPr>
        <w:instrText xml:space="preserve"> TOC \c "Tabla" \h </w:instrText>
      </w:r>
      <w:r w:rsidRPr="0081375C">
        <w:rPr>
          <w:rStyle w:val="IndexLink"/>
          <w:rFonts w:cs="Arial"/>
          <w:bCs/>
          <w:color w:val="000000" w:themeColor="text1"/>
        </w:rPr>
        <w:fldChar w:fldCharType="separate"/>
      </w:r>
      <w:hyperlink w:anchor="_Toc233040650" w:history="1">
        <w:r w:rsidR="00770F7D" w:rsidRPr="0081375C">
          <w:rPr>
            <w:rStyle w:val="Hipervnculo"/>
            <w:rFonts w:cs="Arial"/>
            <w:bCs/>
          </w:rPr>
          <w:t>Tabla 1</w:t>
        </w:r>
        <w:r w:rsidR="00770F7D" w:rsidRPr="0081375C">
          <w:rPr>
            <w:rStyle w:val="Hipervnculo"/>
            <w:rFonts w:eastAsia="Aptos" w:cs="Arial"/>
            <w:bCs/>
          </w:rPr>
          <w:t>.</w:t>
        </w:r>
        <w:r w:rsidR="00770F7D" w:rsidRPr="0081375C">
          <w:rPr>
            <w:rStyle w:val="Hipervnculo"/>
            <w:rFonts w:cs="Arial"/>
            <w:bCs/>
          </w:rPr>
          <w:t xml:space="preserve"> </w:t>
        </w:r>
        <w:r w:rsidR="00770F7D" w:rsidRPr="0081375C">
          <w:rPr>
            <w:rStyle w:val="Hipervnculo"/>
            <w:rFonts w:eastAsia="Aptos" w:cs="Arial"/>
            <w:bCs/>
          </w:rPr>
          <w:t>Normograma nacional y distrital sobre el PSA como instrumento económico</w:t>
        </w:r>
        <w:r w:rsidR="00770F7D" w:rsidRPr="0081375C">
          <w:rPr>
            <w:bCs/>
          </w:rPr>
          <w:tab/>
        </w:r>
        <w:r w:rsidR="00770F7D" w:rsidRPr="0081375C">
          <w:rPr>
            <w:bCs/>
          </w:rPr>
          <w:fldChar w:fldCharType="begin"/>
        </w:r>
        <w:r w:rsidR="00770F7D" w:rsidRPr="0081375C">
          <w:rPr>
            <w:bCs/>
          </w:rPr>
          <w:instrText xml:space="preserve"> PAGEREF _Toc233040650 \h </w:instrText>
        </w:r>
        <w:r w:rsidR="00770F7D" w:rsidRPr="0081375C">
          <w:rPr>
            <w:bCs/>
          </w:rPr>
        </w:r>
        <w:r w:rsidR="00770F7D" w:rsidRPr="0081375C">
          <w:rPr>
            <w:bCs/>
          </w:rPr>
          <w:fldChar w:fldCharType="separate"/>
        </w:r>
        <w:r w:rsidR="00770F7D" w:rsidRPr="0081375C">
          <w:rPr>
            <w:bCs/>
          </w:rPr>
          <w:t>22</w:t>
        </w:r>
        <w:r w:rsidR="00770F7D" w:rsidRPr="0081375C">
          <w:rPr>
            <w:bCs/>
          </w:rPr>
          <w:fldChar w:fldCharType="end"/>
        </w:r>
      </w:hyperlink>
    </w:p>
    <w:p w14:paraId="052E64BF" w14:textId="0543358A"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1" w:history="1">
        <w:r w:rsidRPr="0081375C">
          <w:rPr>
            <w:rStyle w:val="Hipervnculo"/>
            <w:rFonts w:cs="Arial"/>
            <w:bCs/>
          </w:rPr>
          <w:t>Tabla 2. Análisis de insumos</w:t>
        </w:r>
        <w:r w:rsidRPr="0081375C">
          <w:rPr>
            <w:bCs/>
          </w:rPr>
          <w:tab/>
        </w:r>
        <w:r w:rsidRPr="0081375C">
          <w:rPr>
            <w:bCs/>
          </w:rPr>
          <w:fldChar w:fldCharType="begin"/>
        </w:r>
        <w:r w:rsidRPr="0081375C">
          <w:rPr>
            <w:bCs/>
          </w:rPr>
          <w:instrText xml:space="preserve"> PAGEREF _Toc233040651 \h </w:instrText>
        </w:r>
        <w:r w:rsidRPr="0081375C">
          <w:rPr>
            <w:bCs/>
          </w:rPr>
        </w:r>
        <w:r w:rsidRPr="0081375C">
          <w:rPr>
            <w:bCs/>
          </w:rPr>
          <w:fldChar w:fldCharType="separate"/>
        </w:r>
        <w:r w:rsidRPr="0081375C">
          <w:rPr>
            <w:bCs/>
          </w:rPr>
          <w:t>29</w:t>
        </w:r>
        <w:r w:rsidRPr="0081375C">
          <w:rPr>
            <w:bCs/>
          </w:rPr>
          <w:fldChar w:fldCharType="end"/>
        </w:r>
      </w:hyperlink>
    </w:p>
    <w:p w14:paraId="5FDBB313" w14:textId="3631051A"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2" w:history="1">
        <w:r w:rsidRPr="0081375C">
          <w:rPr>
            <w:rStyle w:val="Hipervnculo"/>
            <w:rFonts w:cs="Arial"/>
            <w:bCs/>
          </w:rPr>
          <w:t>Tabla 3. Criterios y puntaje priorización PSABio</w:t>
        </w:r>
        <w:r w:rsidRPr="0081375C">
          <w:rPr>
            <w:bCs/>
          </w:rPr>
          <w:tab/>
        </w:r>
        <w:r w:rsidRPr="0081375C">
          <w:rPr>
            <w:bCs/>
          </w:rPr>
          <w:fldChar w:fldCharType="begin"/>
        </w:r>
        <w:r w:rsidRPr="0081375C">
          <w:rPr>
            <w:bCs/>
          </w:rPr>
          <w:instrText xml:space="preserve"> PAGEREF _Toc233040652 \h </w:instrText>
        </w:r>
        <w:r w:rsidRPr="0081375C">
          <w:rPr>
            <w:bCs/>
          </w:rPr>
        </w:r>
        <w:r w:rsidRPr="0081375C">
          <w:rPr>
            <w:bCs/>
          </w:rPr>
          <w:fldChar w:fldCharType="separate"/>
        </w:r>
        <w:r w:rsidRPr="0081375C">
          <w:rPr>
            <w:bCs/>
          </w:rPr>
          <w:t>31</w:t>
        </w:r>
        <w:r w:rsidRPr="0081375C">
          <w:rPr>
            <w:bCs/>
          </w:rPr>
          <w:fldChar w:fldCharType="end"/>
        </w:r>
      </w:hyperlink>
    </w:p>
    <w:p w14:paraId="0A71C8E1" w14:textId="649293BE"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3" w:history="1">
        <w:r w:rsidRPr="0081375C">
          <w:rPr>
            <w:rStyle w:val="Hipervnculo"/>
            <w:rFonts w:cs="Arial"/>
            <w:bCs/>
          </w:rPr>
          <w:t xml:space="preserve">Tabla 4 </w:t>
        </w:r>
        <w:r w:rsidRPr="0081375C">
          <w:rPr>
            <w:rStyle w:val="Hipervnculo"/>
            <w:rFonts w:eastAsia="Aptos" w:cs="Arial"/>
            <w:bCs/>
          </w:rPr>
          <w:t>Criterio 1</w:t>
        </w:r>
        <w:r w:rsidRPr="0081375C">
          <w:rPr>
            <w:rStyle w:val="Hipervnculo"/>
            <w:rFonts w:cs="Arial"/>
            <w:bCs/>
          </w:rPr>
          <w:t xml:space="preserve"> </w:t>
        </w:r>
        <w:r w:rsidRPr="0081375C">
          <w:rPr>
            <w:rStyle w:val="Hipervnculo"/>
            <w:rFonts w:eastAsia="Aptos" w:cs="Arial"/>
            <w:bCs/>
          </w:rPr>
          <w:t>Conectividad ecológica</w:t>
        </w:r>
        <w:r w:rsidRPr="0081375C">
          <w:rPr>
            <w:bCs/>
          </w:rPr>
          <w:tab/>
        </w:r>
        <w:r w:rsidRPr="0081375C">
          <w:rPr>
            <w:bCs/>
          </w:rPr>
          <w:fldChar w:fldCharType="begin"/>
        </w:r>
        <w:r w:rsidRPr="0081375C">
          <w:rPr>
            <w:bCs/>
          </w:rPr>
          <w:instrText xml:space="preserve"> PAGEREF _Toc233040653 \h </w:instrText>
        </w:r>
        <w:r w:rsidRPr="0081375C">
          <w:rPr>
            <w:bCs/>
          </w:rPr>
        </w:r>
        <w:r w:rsidRPr="0081375C">
          <w:rPr>
            <w:bCs/>
          </w:rPr>
          <w:fldChar w:fldCharType="separate"/>
        </w:r>
        <w:r w:rsidRPr="0081375C">
          <w:rPr>
            <w:bCs/>
          </w:rPr>
          <w:t>31</w:t>
        </w:r>
        <w:r w:rsidRPr="0081375C">
          <w:rPr>
            <w:bCs/>
          </w:rPr>
          <w:fldChar w:fldCharType="end"/>
        </w:r>
      </w:hyperlink>
    </w:p>
    <w:p w14:paraId="4A342592" w14:textId="77915297"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4" w:history="1">
        <w:r w:rsidRPr="0081375C">
          <w:rPr>
            <w:rStyle w:val="Hipervnculo"/>
            <w:rFonts w:cs="Arial"/>
            <w:bCs/>
          </w:rPr>
          <w:t>Tabla 5 Variables de Criterio 2. Calidad de la vegetación</w:t>
        </w:r>
        <w:r w:rsidRPr="0081375C">
          <w:rPr>
            <w:bCs/>
          </w:rPr>
          <w:tab/>
        </w:r>
        <w:r w:rsidRPr="0081375C">
          <w:rPr>
            <w:bCs/>
          </w:rPr>
          <w:fldChar w:fldCharType="begin"/>
        </w:r>
        <w:r w:rsidRPr="0081375C">
          <w:rPr>
            <w:bCs/>
          </w:rPr>
          <w:instrText xml:space="preserve"> PAGEREF _Toc233040654 \h </w:instrText>
        </w:r>
        <w:r w:rsidRPr="0081375C">
          <w:rPr>
            <w:bCs/>
          </w:rPr>
        </w:r>
        <w:r w:rsidRPr="0081375C">
          <w:rPr>
            <w:bCs/>
          </w:rPr>
          <w:fldChar w:fldCharType="separate"/>
        </w:r>
        <w:r w:rsidRPr="0081375C">
          <w:rPr>
            <w:bCs/>
          </w:rPr>
          <w:t>32</w:t>
        </w:r>
        <w:r w:rsidRPr="0081375C">
          <w:rPr>
            <w:bCs/>
          </w:rPr>
          <w:fldChar w:fldCharType="end"/>
        </w:r>
      </w:hyperlink>
    </w:p>
    <w:p w14:paraId="4D9236F8" w14:textId="180301C9"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5" w:history="1">
        <w:r w:rsidRPr="0081375C">
          <w:rPr>
            <w:rStyle w:val="Hipervnculo"/>
            <w:rFonts w:cs="Arial"/>
            <w:bCs/>
          </w:rPr>
          <w:t>Tabla 6 Variables de Criterio 3 Dinámica de la vegetación</w:t>
        </w:r>
        <w:r w:rsidRPr="0081375C">
          <w:rPr>
            <w:bCs/>
          </w:rPr>
          <w:tab/>
        </w:r>
        <w:r w:rsidRPr="0081375C">
          <w:rPr>
            <w:bCs/>
          </w:rPr>
          <w:fldChar w:fldCharType="begin"/>
        </w:r>
        <w:r w:rsidRPr="0081375C">
          <w:rPr>
            <w:bCs/>
          </w:rPr>
          <w:instrText xml:space="preserve"> PAGEREF _Toc233040655 \h </w:instrText>
        </w:r>
        <w:r w:rsidRPr="0081375C">
          <w:rPr>
            <w:bCs/>
          </w:rPr>
        </w:r>
        <w:r w:rsidRPr="0081375C">
          <w:rPr>
            <w:bCs/>
          </w:rPr>
          <w:fldChar w:fldCharType="separate"/>
        </w:r>
        <w:r w:rsidRPr="0081375C">
          <w:rPr>
            <w:bCs/>
          </w:rPr>
          <w:t>33</w:t>
        </w:r>
        <w:r w:rsidRPr="0081375C">
          <w:rPr>
            <w:bCs/>
          </w:rPr>
          <w:fldChar w:fldCharType="end"/>
        </w:r>
      </w:hyperlink>
    </w:p>
    <w:p w14:paraId="7D539544" w14:textId="2A6DD936"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6" w:history="1">
        <w:r w:rsidRPr="0081375C">
          <w:rPr>
            <w:rStyle w:val="Hipervnculo"/>
            <w:rFonts w:cs="Arial"/>
            <w:bCs/>
          </w:rPr>
          <w:t>Tabla 7 Variables de Criterio 4. Biodiversidad</w:t>
        </w:r>
        <w:r w:rsidRPr="0081375C">
          <w:rPr>
            <w:bCs/>
          </w:rPr>
          <w:tab/>
        </w:r>
        <w:r w:rsidRPr="0081375C">
          <w:rPr>
            <w:bCs/>
          </w:rPr>
          <w:fldChar w:fldCharType="begin"/>
        </w:r>
        <w:r w:rsidRPr="0081375C">
          <w:rPr>
            <w:bCs/>
          </w:rPr>
          <w:instrText xml:space="preserve"> PAGEREF _Toc233040656 \h </w:instrText>
        </w:r>
        <w:r w:rsidRPr="0081375C">
          <w:rPr>
            <w:bCs/>
          </w:rPr>
        </w:r>
        <w:r w:rsidRPr="0081375C">
          <w:rPr>
            <w:bCs/>
          </w:rPr>
          <w:fldChar w:fldCharType="separate"/>
        </w:r>
        <w:r w:rsidRPr="0081375C">
          <w:rPr>
            <w:bCs/>
          </w:rPr>
          <w:t>34</w:t>
        </w:r>
        <w:r w:rsidRPr="0081375C">
          <w:rPr>
            <w:bCs/>
          </w:rPr>
          <w:fldChar w:fldCharType="end"/>
        </w:r>
      </w:hyperlink>
    </w:p>
    <w:p w14:paraId="0A92555B" w14:textId="58EF61FC"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7" w:history="1">
        <w:r w:rsidRPr="0081375C">
          <w:rPr>
            <w:rStyle w:val="Hipervnculo"/>
            <w:rFonts w:cs="Arial"/>
            <w:bCs/>
          </w:rPr>
          <w:t>Tabla 8 Variables de Criterio 5. Grado de amenaza por presión antrópica</w:t>
        </w:r>
        <w:r w:rsidRPr="0081375C">
          <w:rPr>
            <w:bCs/>
          </w:rPr>
          <w:tab/>
        </w:r>
        <w:r w:rsidRPr="0081375C">
          <w:rPr>
            <w:bCs/>
          </w:rPr>
          <w:fldChar w:fldCharType="begin"/>
        </w:r>
        <w:r w:rsidRPr="0081375C">
          <w:rPr>
            <w:bCs/>
          </w:rPr>
          <w:instrText xml:space="preserve"> PAGEREF _Toc233040657 \h </w:instrText>
        </w:r>
        <w:r w:rsidRPr="0081375C">
          <w:rPr>
            <w:bCs/>
          </w:rPr>
        </w:r>
        <w:r w:rsidRPr="0081375C">
          <w:rPr>
            <w:bCs/>
          </w:rPr>
          <w:fldChar w:fldCharType="separate"/>
        </w:r>
        <w:r w:rsidRPr="0081375C">
          <w:rPr>
            <w:bCs/>
          </w:rPr>
          <w:t>35</w:t>
        </w:r>
        <w:r w:rsidRPr="0081375C">
          <w:rPr>
            <w:bCs/>
          </w:rPr>
          <w:fldChar w:fldCharType="end"/>
        </w:r>
      </w:hyperlink>
    </w:p>
    <w:p w14:paraId="2AE13D15" w14:textId="6D65793F"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8" w:history="1">
        <w:r w:rsidRPr="0081375C">
          <w:rPr>
            <w:rStyle w:val="Hipervnculo"/>
            <w:rFonts w:cs="Arial"/>
            <w:bCs/>
          </w:rPr>
          <w:t>Tabla 9 Índice de Presión Demográfica</w:t>
        </w:r>
        <w:r w:rsidRPr="0081375C">
          <w:rPr>
            <w:bCs/>
          </w:rPr>
          <w:tab/>
        </w:r>
        <w:r w:rsidRPr="0081375C">
          <w:rPr>
            <w:bCs/>
          </w:rPr>
          <w:fldChar w:fldCharType="begin"/>
        </w:r>
        <w:r w:rsidRPr="0081375C">
          <w:rPr>
            <w:bCs/>
          </w:rPr>
          <w:instrText xml:space="preserve"> PAGEREF _Toc233040658 \h </w:instrText>
        </w:r>
        <w:r w:rsidRPr="0081375C">
          <w:rPr>
            <w:bCs/>
          </w:rPr>
        </w:r>
        <w:r w:rsidRPr="0081375C">
          <w:rPr>
            <w:bCs/>
          </w:rPr>
          <w:fldChar w:fldCharType="separate"/>
        </w:r>
        <w:r w:rsidRPr="0081375C">
          <w:rPr>
            <w:bCs/>
          </w:rPr>
          <w:t>35</w:t>
        </w:r>
        <w:r w:rsidRPr="0081375C">
          <w:rPr>
            <w:bCs/>
          </w:rPr>
          <w:fldChar w:fldCharType="end"/>
        </w:r>
      </w:hyperlink>
    </w:p>
    <w:p w14:paraId="1DF10AE0" w14:textId="5B15A816"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59" w:history="1">
        <w:r w:rsidRPr="0081375C">
          <w:rPr>
            <w:rStyle w:val="Hipervnculo"/>
            <w:rFonts w:cs="Arial"/>
            <w:bCs/>
          </w:rPr>
          <w:t>Tabla 10 Matriz IAC</w:t>
        </w:r>
        <w:r w:rsidRPr="0081375C">
          <w:rPr>
            <w:bCs/>
          </w:rPr>
          <w:tab/>
        </w:r>
        <w:r w:rsidRPr="0081375C">
          <w:rPr>
            <w:bCs/>
          </w:rPr>
          <w:fldChar w:fldCharType="begin"/>
        </w:r>
        <w:r w:rsidRPr="0081375C">
          <w:rPr>
            <w:bCs/>
          </w:rPr>
          <w:instrText xml:space="preserve"> PAGEREF _Toc233040659 \h </w:instrText>
        </w:r>
        <w:r w:rsidRPr="0081375C">
          <w:rPr>
            <w:bCs/>
          </w:rPr>
        </w:r>
        <w:r w:rsidRPr="0081375C">
          <w:rPr>
            <w:bCs/>
          </w:rPr>
          <w:fldChar w:fldCharType="separate"/>
        </w:r>
        <w:r w:rsidRPr="0081375C">
          <w:rPr>
            <w:bCs/>
          </w:rPr>
          <w:t>36</w:t>
        </w:r>
        <w:r w:rsidRPr="0081375C">
          <w:rPr>
            <w:bCs/>
          </w:rPr>
          <w:fldChar w:fldCharType="end"/>
        </w:r>
      </w:hyperlink>
    </w:p>
    <w:p w14:paraId="433AE859" w14:textId="310C5979"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0" w:history="1">
        <w:r w:rsidRPr="0081375C">
          <w:rPr>
            <w:rStyle w:val="Hipervnculo"/>
            <w:rFonts w:cs="Arial"/>
            <w:bCs/>
          </w:rPr>
          <w:t>Tabla 11 Calificación IAC</w:t>
        </w:r>
        <w:r w:rsidRPr="0081375C">
          <w:rPr>
            <w:bCs/>
          </w:rPr>
          <w:tab/>
        </w:r>
        <w:r w:rsidRPr="0081375C">
          <w:rPr>
            <w:bCs/>
          </w:rPr>
          <w:fldChar w:fldCharType="begin"/>
        </w:r>
        <w:r w:rsidRPr="0081375C">
          <w:rPr>
            <w:bCs/>
          </w:rPr>
          <w:instrText xml:space="preserve"> PAGEREF _Toc233040660 \h </w:instrText>
        </w:r>
        <w:r w:rsidRPr="0081375C">
          <w:rPr>
            <w:bCs/>
          </w:rPr>
        </w:r>
        <w:r w:rsidRPr="0081375C">
          <w:rPr>
            <w:bCs/>
          </w:rPr>
          <w:fldChar w:fldCharType="separate"/>
        </w:r>
        <w:r w:rsidRPr="0081375C">
          <w:rPr>
            <w:bCs/>
          </w:rPr>
          <w:t>36</w:t>
        </w:r>
        <w:r w:rsidRPr="0081375C">
          <w:rPr>
            <w:bCs/>
          </w:rPr>
          <w:fldChar w:fldCharType="end"/>
        </w:r>
      </w:hyperlink>
    </w:p>
    <w:p w14:paraId="45F08848" w14:textId="11C2C593"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1" w:history="1">
        <w:r w:rsidRPr="0081375C">
          <w:rPr>
            <w:rStyle w:val="Hipervnculo"/>
            <w:rFonts w:cs="Arial"/>
            <w:bCs/>
          </w:rPr>
          <w:t>Tabla 12 Categorías de priorización ecosistema estratégico</w:t>
        </w:r>
        <w:r w:rsidRPr="0081375C">
          <w:rPr>
            <w:bCs/>
          </w:rPr>
          <w:tab/>
        </w:r>
        <w:r w:rsidRPr="0081375C">
          <w:rPr>
            <w:bCs/>
          </w:rPr>
          <w:fldChar w:fldCharType="begin"/>
        </w:r>
        <w:r w:rsidRPr="0081375C">
          <w:rPr>
            <w:bCs/>
          </w:rPr>
          <w:instrText xml:space="preserve"> PAGEREF _Toc233040661 \h </w:instrText>
        </w:r>
        <w:r w:rsidRPr="0081375C">
          <w:rPr>
            <w:bCs/>
          </w:rPr>
        </w:r>
        <w:r w:rsidRPr="0081375C">
          <w:rPr>
            <w:bCs/>
          </w:rPr>
          <w:fldChar w:fldCharType="separate"/>
        </w:r>
        <w:r w:rsidRPr="0081375C">
          <w:rPr>
            <w:bCs/>
          </w:rPr>
          <w:t>37</w:t>
        </w:r>
        <w:r w:rsidRPr="0081375C">
          <w:rPr>
            <w:bCs/>
          </w:rPr>
          <w:fldChar w:fldCharType="end"/>
        </w:r>
      </w:hyperlink>
    </w:p>
    <w:p w14:paraId="37A905DA" w14:textId="58C29185"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2" w:history="1">
        <w:r w:rsidRPr="0081375C">
          <w:rPr>
            <w:rStyle w:val="Hipervnculo"/>
            <w:rFonts w:cs="Arial"/>
            <w:bCs/>
          </w:rPr>
          <w:t xml:space="preserve">Tabla 13. </w:t>
        </w:r>
        <w:r w:rsidRPr="0081375C">
          <w:rPr>
            <w:rStyle w:val="Hipervnculo"/>
            <w:rFonts w:eastAsia="Aptos" w:cs="Arial"/>
            <w:bCs/>
          </w:rPr>
          <w:t>Capas derivadas, origen y el método de construcción</w:t>
        </w:r>
        <w:r w:rsidRPr="0081375C">
          <w:rPr>
            <w:bCs/>
          </w:rPr>
          <w:tab/>
        </w:r>
        <w:r w:rsidRPr="0081375C">
          <w:rPr>
            <w:bCs/>
          </w:rPr>
          <w:fldChar w:fldCharType="begin"/>
        </w:r>
        <w:r w:rsidRPr="0081375C">
          <w:rPr>
            <w:bCs/>
          </w:rPr>
          <w:instrText xml:space="preserve"> PAGEREF _Toc233040662 \h </w:instrText>
        </w:r>
        <w:r w:rsidRPr="0081375C">
          <w:rPr>
            <w:bCs/>
          </w:rPr>
        </w:r>
        <w:r w:rsidRPr="0081375C">
          <w:rPr>
            <w:bCs/>
          </w:rPr>
          <w:fldChar w:fldCharType="separate"/>
        </w:r>
        <w:r w:rsidRPr="0081375C">
          <w:rPr>
            <w:bCs/>
          </w:rPr>
          <w:t>40</w:t>
        </w:r>
        <w:r w:rsidRPr="0081375C">
          <w:rPr>
            <w:bCs/>
          </w:rPr>
          <w:fldChar w:fldCharType="end"/>
        </w:r>
      </w:hyperlink>
    </w:p>
    <w:p w14:paraId="6A5251E9" w14:textId="5859D2C1"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3" w:history="1">
        <w:r w:rsidRPr="0081375C">
          <w:rPr>
            <w:rStyle w:val="Hipervnculo"/>
            <w:rFonts w:eastAsia="Aptos" w:cs="Arial"/>
            <w:bCs/>
          </w:rPr>
          <w:t>Tabla 14. Resumen de criterios de selección PSAH</w:t>
        </w:r>
        <w:r w:rsidRPr="0081375C">
          <w:rPr>
            <w:bCs/>
          </w:rPr>
          <w:tab/>
        </w:r>
        <w:r w:rsidRPr="0081375C">
          <w:rPr>
            <w:bCs/>
          </w:rPr>
          <w:fldChar w:fldCharType="begin"/>
        </w:r>
        <w:r w:rsidRPr="0081375C">
          <w:rPr>
            <w:bCs/>
          </w:rPr>
          <w:instrText xml:space="preserve"> PAGEREF _Toc233040663 \h </w:instrText>
        </w:r>
        <w:r w:rsidRPr="0081375C">
          <w:rPr>
            <w:bCs/>
          </w:rPr>
        </w:r>
        <w:r w:rsidRPr="0081375C">
          <w:rPr>
            <w:bCs/>
          </w:rPr>
          <w:fldChar w:fldCharType="separate"/>
        </w:r>
        <w:r w:rsidRPr="0081375C">
          <w:rPr>
            <w:bCs/>
          </w:rPr>
          <w:t>41</w:t>
        </w:r>
        <w:r w:rsidRPr="0081375C">
          <w:rPr>
            <w:bCs/>
          </w:rPr>
          <w:fldChar w:fldCharType="end"/>
        </w:r>
      </w:hyperlink>
    </w:p>
    <w:p w14:paraId="731D500D" w14:textId="0AC402F4"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4" w:history="1">
        <w:r w:rsidRPr="0081375C">
          <w:rPr>
            <w:rStyle w:val="Hipervnculo"/>
            <w:rFonts w:eastAsia="Arial" w:cs="Arial"/>
            <w:bCs/>
          </w:rPr>
          <w:t>Tabla 15. Cálculo la sumatoria de los criterios</w:t>
        </w:r>
        <w:r w:rsidRPr="0081375C">
          <w:rPr>
            <w:bCs/>
          </w:rPr>
          <w:tab/>
        </w:r>
        <w:r w:rsidRPr="0081375C">
          <w:rPr>
            <w:bCs/>
          </w:rPr>
          <w:fldChar w:fldCharType="begin"/>
        </w:r>
        <w:r w:rsidRPr="0081375C">
          <w:rPr>
            <w:bCs/>
          </w:rPr>
          <w:instrText xml:space="preserve"> PAGEREF _Toc233040664 \h </w:instrText>
        </w:r>
        <w:r w:rsidRPr="0081375C">
          <w:rPr>
            <w:bCs/>
          </w:rPr>
        </w:r>
        <w:r w:rsidRPr="0081375C">
          <w:rPr>
            <w:bCs/>
          </w:rPr>
          <w:fldChar w:fldCharType="separate"/>
        </w:r>
        <w:r w:rsidRPr="0081375C">
          <w:rPr>
            <w:bCs/>
          </w:rPr>
          <w:t>45</w:t>
        </w:r>
        <w:r w:rsidRPr="0081375C">
          <w:rPr>
            <w:bCs/>
          </w:rPr>
          <w:fldChar w:fldCharType="end"/>
        </w:r>
      </w:hyperlink>
    </w:p>
    <w:p w14:paraId="4694FEF4" w14:textId="71E7A828"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5" w:history="1">
        <w:r w:rsidRPr="0081375C">
          <w:rPr>
            <w:rStyle w:val="Hipervnculo"/>
            <w:rFonts w:cs="Arial"/>
            <w:bCs/>
          </w:rPr>
          <w:t>T</w:t>
        </w:r>
        <w:r w:rsidRPr="0081375C">
          <w:rPr>
            <w:rStyle w:val="Hipervnculo"/>
            <w:rFonts w:eastAsia="Arial" w:cs="Arial"/>
            <w:bCs/>
          </w:rPr>
          <w:t>abla 16. Ponderación para la selección de predios PSABio</w:t>
        </w:r>
        <w:r w:rsidRPr="0081375C">
          <w:rPr>
            <w:bCs/>
          </w:rPr>
          <w:tab/>
        </w:r>
        <w:r w:rsidRPr="0081375C">
          <w:rPr>
            <w:bCs/>
          </w:rPr>
          <w:fldChar w:fldCharType="begin"/>
        </w:r>
        <w:r w:rsidRPr="0081375C">
          <w:rPr>
            <w:bCs/>
          </w:rPr>
          <w:instrText xml:space="preserve"> PAGEREF _Toc233040665 \h </w:instrText>
        </w:r>
        <w:r w:rsidRPr="0081375C">
          <w:rPr>
            <w:bCs/>
          </w:rPr>
        </w:r>
        <w:r w:rsidRPr="0081375C">
          <w:rPr>
            <w:bCs/>
          </w:rPr>
          <w:fldChar w:fldCharType="separate"/>
        </w:r>
        <w:r w:rsidRPr="0081375C">
          <w:rPr>
            <w:bCs/>
          </w:rPr>
          <w:t>47</w:t>
        </w:r>
        <w:r w:rsidRPr="0081375C">
          <w:rPr>
            <w:bCs/>
          </w:rPr>
          <w:fldChar w:fldCharType="end"/>
        </w:r>
      </w:hyperlink>
    </w:p>
    <w:p w14:paraId="5D05B6C6" w14:textId="0E5E06B0"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6" w:history="1">
        <w:r w:rsidRPr="0081375C">
          <w:rPr>
            <w:rStyle w:val="Hipervnculo"/>
            <w:rFonts w:cs="Arial"/>
            <w:bCs/>
          </w:rPr>
          <w:t xml:space="preserve">Tabla </w:t>
        </w:r>
        <w:r w:rsidRPr="0081375C">
          <w:rPr>
            <w:rStyle w:val="Hipervnculo"/>
            <w:rFonts w:eastAsia="Arial" w:cs="Arial"/>
            <w:bCs/>
          </w:rPr>
          <w:t>17.</w:t>
        </w:r>
        <w:r w:rsidRPr="0081375C">
          <w:rPr>
            <w:rStyle w:val="Hipervnculo"/>
            <w:rFonts w:cs="Arial"/>
            <w:bCs/>
          </w:rPr>
          <w:t xml:space="preserve"> Especies empleadas para el modelo de Idoneidad de hábitat</w:t>
        </w:r>
        <w:r w:rsidRPr="0081375C">
          <w:rPr>
            <w:bCs/>
          </w:rPr>
          <w:tab/>
        </w:r>
        <w:r w:rsidRPr="0081375C">
          <w:rPr>
            <w:bCs/>
          </w:rPr>
          <w:fldChar w:fldCharType="begin"/>
        </w:r>
        <w:r w:rsidRPr="0081375C">
          <w:rPr>
            <w:bCs/>
          </w:rPr>
          <w:instrText xml:space="preserve"> PAGEREF _Toc233040666 \h </w:instrText>
        </w:r>
        <w:r w:rsidRPr="0081375C">
          <w:rPr>
            <w:bCs/>
          </w:rPr>
        </w:r>
        <w:r w:rsidRPr="0081375C">
          <w:rPr>
            <w:bCs/>
          </w:rPr>
          <w:fldChar w:fldCharType="separate"/>
        </w:r>
        <w:r w:rsidRPr="0081375C">
          <w:rPr>
            <w:bCs/>
          </w:rPr>
          <w:t>48</w:t>
        </w:r>
        <w:r w:rsidRPr="0081375C">
          <w:rPr>
            <w:bCs/>
          </w:rPr>
          <w:fldChar w:fldCharType="end"/>
        </w:r>
      </w:hyperlink>
    </w:p>
    <w:p w14:paraId="3F41A57E" w14:textId="73191D64"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7" w:history="1">
        <w:r w:rsidRPr="0081375C">
          <w:rPr>
            <w:rStyle w:val="Hipervnculo"/>
            <w:rFonts w:cs="Arial"/>
            <w:bCs/>
          </w:rPr>
          <w:t xml:space="preserve">Tabla </w:t>
        </w:r>
        <w:r w:rsidRPr="0081375C">
          <w:rPr>
            <w:rStyle w:val="Hipervnculo"/>
            <w:rFonts w:eastAsia="Arial" w:cs="Arial"/>
            <w:bCs/>
          </w:rPr>
          <w:t xml:space="preserve">18 </w:t>
        </w:r>
        <w:r w:rsidRPr="0081375C">
          <w:rPr>
            <w:rStyle w:val="Hipervnculo"/>
            <w:rFonts w:cs="Arial"/>
            <w:bCs/>
          </w:rPr>
          <w:t>Ponderación para la selección de predios en casos de desempate</w:t>
        </w:r>
        <w:r w:rsidRPr="0081375C">
          <w:rPr>
            <w:bCs/>
          </w:rPr>
          <w:tab/>
        </w:r>
        <w:r w:rsidRPr="0081375C">
          <w:rPr>
            <w:bCs/>
          </w:rPr>
          <w:fldChar w:fldCharType="begin"/>
        </w:r>
        <w:r w:rsidRPr="0081375C">
          <w:rPr>
            <w:bCs/>
          </w:rPr>
          <w:instrText xml:space="preserve"> PAGEREF _Toc233040667 \h </w:instrText>
        </w:r>
        <w:r w:rsidRPr="0081375C">
          <w:rPr>
            <w:bCs/>
          </w:rPr>
        </w:r>
        <w:r w:rsidRPr="0081375C">
          <w:rPr>
            <w:bCs/>
          </w:rPr>
          <w:fldChar w:fldCharType="separate"/>
        </w:r>
        <w:r w:rsidRPr="0081375C">
          <w:rPr>
            <w:bCs/>
          </w:rPr>
          <w:t>50</w:t>
        </w:r>
        <w:r w:rsidRPr="0081375C">
          <w:rPr>
            <w:bCs/>
          </w:rPr>
          <w:fldChar w:fldCharType="end"/>
        </w:r>
      </w:hyperlink>
    </w:p>
    <w:p w14:paraId="5476AB43" w14:textId="254241D8"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8" w:history="1">
        <w:r w:rsidRPr="0081375C">
          <w:rPr>
            <w:rStyle w:val="Hipervnculo"/>
            <w:rFonts w:cs="Arial"/>
            <w:bCs/>
          </w:rPr>
          <w:t>Tabla 19 Plazos operativos de la convocatoria de PSA</w:t>
        </w:r>
        <w:r w:rsidRPr="0081375C">
          <w:rPr>
            <w:bCs/>
          </w:rPr>
          <w:tab/>
        </w:r>
        <w:r w:rsidRPr="0081375C">
          <w:rPr>
            <w:bCs/>
          </w:rPr>
          <w:fldChar w:fldCharType="begin"/>
        </w:r>
        <w:r w:rsidRPr="0081375C">
          <w:rPr>
            <w:bCs/>
          </w:rPr>
          <w:instrText xml:space="preserve"> PAGEREF _Toc233040668 \h </w:instrText>
        </w:r>
        <w:r w:rsidRPr="0081375C">
          <w:rPr>
            <w:bCs/>
          </w:rPr>
        </w:r>
        <w:r w:rsidRPr="0081375C">
          <w:rPr>
            <w:bCs/>
          </w:rPr>
          <w:fldChar w:fldCharType="separate"/>
        </w:r>
        <w:r w:rsidRPr="0081375C">
          <w:rPr>
            <w:bCs/>
          </w:rPr>
          <w:t>51</w:t>
        </w:r>
        <w:r w:rsidRPr="0081375C">
          <w:rPr>
            <w:bCs/>
          </w:rPr>
          <w:fldChar w:fldCharType="end"/>
        </w:r>
      </w:hyperlink>
    </w:p>
    <w:p w14:paraId="67951708" w14:textId="5A902C9A"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69" w:history="1">
        <w:r w:rsidRPr="0081375C">
          <w:rPr>
            <w:rStyle w:val="Hipervnculo"/>
            <w:rFonts w:cs="Arial"/>
            <w:bCs/>
          </w:rPr>
          <w:t>Tabla 20 Categorías de la evaluación documental preliminar</w:t>
        </w:r>
        <w:r w:rsidRPr="0081375C">
          <w:rPr>
            <w:bCs/>
          </w:rPr>
          <w:tab/>
        </w:r>
        <w:r w:rsidRPr="0081375C">
          <w:rPr>
            <w:bCs/>
          </w:rPr>
          <w:fldChar w:fldCharType="begin"/>
        </w:r>
        <w:r w:rsidRPr="0081375C">
          <w:rPr>
            <w:bCs/>
          </w:rPr>
          <w:instrText xml:space="preserve"> PAGEREF _Toc233040669 \h </w:instrText>
        </w:r>
        <w:r w:rsidRPr="0081375C">
          <w:rPr>
            <w:bCs/>
          </w:rPr>
        </w:r>
        <w:r w:rsidRPr="0081375C">
          <w:rPr>
            <w:bCs/>
          </w:rPr>
          <w:fldChar w:fldCharType="separate"/>
        </w:r>
        <w:r w:rsidRPr="0081375C">
          <w:rPr>
            <w:bCs/>
          </w:rPr>
          <w:t>57</w:t>
        </w:r>
        <w:r w:rsidRPr="0081375C">
          <w:rPr>
            <w:bCs/>
          </w:rPr>
          <w:fldChar w:fldCharType="end"/>
        </w:r>
      </w:hyperlink>
    </w:p>
    <w:p w14:paraId="5DA18B1C" w14:textId="2FF728F2"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0" w:history="1">
        <w:r w:rsidRPr="0081375C">
          <w:rPr>
            <w:rStyle w:val="Hipervnculo"/>
            <w:rFonts w:cs="Arial"/>
            <w:bCs/>
          </w:rPr>
          <w:t>Tabla 21. Cronograma de evaluaciones jurídicas</w:t>
        </w:r>
        <w:r w:rsidRPr="0081375C">
          <w:rPr>
            <w:bCs/>
          </w:rPr>
          <w:tab/>
        </w:r>
        <w:r w:rsidRPr="0081375C">
          <w:rPr>
            <w:bCs/>
          </w:rPr>
          <w:fldChar w:fldCharType="begin"/>
        </w:r>
        <w:r w:rsidRPr="0081375C">
          <w:rPr>
            <w:bCs/>
          </w:rPr>
          <w:instrText xml:space="preserve"> PAGEREF _Toc233040670 \h </w:instrText>
        </w:r>
        <w:r w:rsidRPr="0081375C">
          <w:rPr>
            <w:bCs/>
          </w:rPr>
        </w:r>
        <w:r w:rsidRPr="0081375C">
          <w:rPr>
            <w:bCs/>
          </w:rPr>
          <w:fldChar w:fldCharType="separate"/>
        </w:r>
        <w:r w:rsidRPr="0081375C">
          <w:rPr>
            <w:bCs/>
          </w:rPr>
          <w:t>58</w:t>
        </w:r>
        <w:r w:rsidRPr="0081375C">
          <w:rPr>
            <w:bCs/>
          </w:rPr>
          <w:fldChar w:fldCharType="end"/>
        </w:r>
      </w:hyperlink>
    </w:p>
    <w:p w14:paraId="19629F05" w14:textId="3EDD3AAF"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1" w:history="1">
        <w:r w:rsidRPr="0081375C">
          <w:rPr>
            <w:rStyle w:val="Hipervnculo"/>
            <w:rFonts w:cs="Arial"/>
            <w:bCs/>
          </w:rPr>
          <w:t>Tabla 22. Cronograma de visitas de campo</w:t>
        </w:r>
        <w:r w:rsidRPr="0081375C">
          <w:rPr>
            <w:bCs/>
          </w:rPr>
          <w:tab/>
        </w:r>
        <w:r w:rsidRPr="0081375C">
          <w:rPr>
            <w:bCs/>
          </w:rPr>
          <w:fldChar w:fldCharType="begin"/>
        </w:r>
        <w:r w:rsidRPr="0081375C">
          <w:rPr>
            <w:bCs/>
          </w:rPr>
          <w:instrText xml:space="preserve"> PAGEREF _Toc233040671 \h </w:instrText>
        </w:r>
        <w:r w:rsidRPr="0081375C">
          <w:rPr>
            <w:bCs/>
          </w:rPr>
        </w:r>
        <w:r w:rsidRPr="0081375C">
          <w:rPr>
            <w:bCs/>
          </w:rPr>
          <w:fldChar w:fldCharType="separate"/>
        </w:r>
        <w:r w:rsidRPr="0081375C">
          <w:rPr>
            <w:bCs/>
          </w:rPr>
          <w:t>60</w:t>
        </w:r>
        <w:r w:rsidRPr="0081375C">
          <w:rPr>
            <w:bCs/>
          </w:rPr>
          <w:fldChar w:fldCharType="end"/>
        </w:r>
      </w:hyperlink>
    </w:p>
    <w:p w14:paraId="777B413B" w14:textId="39E76DB7"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2" w:history="1">
        <w:r w:rsidRPr="0081375C">
          <w:rPr>
            <w:rStyle w:val="Hipervnculo"/>
            <w:rFonts w:cs="Arial"/>
            <w:bCs/>
          </w:rPr>
          <w:t>Tabla 23. Especies de árboles y arbustos registradas en el monitoreo de 2022, observadas en estadios tempranos de la regeneración natural o en pastos enmalezados y vegetaciones secundarias.</w:t>
        </w:r>
        <w:r w:rsidRPr="0081375C">
          <w:rPr>
            <w:bCs/>
          </w:rPr>
          <w:tab/>
        </w:r>
        <w:r w:rsidRPr="0081375C">
          <w:rPr>
            <w:bCs/>
          </w:rPr>
          <w:fldChar w:fldCharType="begin"/>
        </w:r>
        <w:r w:rsidRPr="0081375C">
          <w:rPr>
            <w:bCs/>
          </w:rPr>
          <w:instrText xml:space="preserve"> PAGEREF _Toc233040672 \h </w:instrText>
        </w:r>
        <w:r w:rsidRPr="0081375C">
          <w:rPr>
            <w:bCs/>
          </w:rPr>
        </w:r>
        <w:r w:rsidRPr="0081375C">
          <w:rPr>
            <w:bCs/>
          </w:rPr>
          <w:fldChar w:fldCharType="separate"/>
        </w:r>
        <w:r w:rsidRPr="0081375C">
          <w:rPr>
            <w:bCs/>
          </w:rPr>
          <w:t>65</w:t>
        </w:r>
        <w:r w:rsidRPr="0081375C">
          <w:rPr>
            <w:bCs/>
          </w:rPr>
          <w:fldChar w:fldCharType="end"/>
        </w:r>
      </w:hyperlink>
    </w:p>
    <w:p w14:paraId="4E825A09" w14:textId="18BF194A"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3" w:history="1">
        <w:r w:rsidRPr="0081375C">
          <w:rPr>
            <w:rStyle w:val="Hipervnculo"/>
            <w:rFonts w:cs="Arial"/>
            <w:bCs/>
          </w:rPr>
          <w:t>Tabla 24. Criterios de asignación de la acción según el tipo de cobertura.</w:t>
        </w:r>
        <w:r w:rsidRPr="0081375C">
          <w:rPr>
            <w:bCs/>
          </w:rPr>
          <w:tab/>
        </w:r>
        <w:r w:rsidRPr="0081375C">
          <w:rPr>
            <w:bCs/>
          </w:rPr>
          <w:fldChar w:fldCharType="begin"/>
        </w:r>
        <w:r w:rsidRPr="0081375C">
          <w:rPr>
            <w:bCs/>
          </w:rPr>
          <w:instrText xml:space="preserve"> PAGEREF _Toc233040673 \h </w:instrText>
        </w:r>
        <w:r w:rsidRPr="0081375C">
          <w:rPr>
            <w:bCs/>
          </w:rPr>
        </w:r>
        <w:r w:rsidRPr="0081375C">
          <w:rPr>
            <w:bCs/>
          </w:rPr>
          <w:fldChar w:fldCharType="separate"/>
        </w:r>
        <w:r w:rsidRPr="0081375C">
          <w:rPr>
            <w:bCs/>
          </w:rPr>
          <w:t>67</w:t>
        </w:r>
        <w:r w:rsidRPr="0081375C">
          <w:rPr>
            <w:bCs/>
          </w:rPr>
          <w:fldChar w:fldCharType="end"/>
        </w:r>
      </w:hyperlink>
    </w:p>
    <w:p w14:paraId="79C4F0CB" w14:textId="2939F00E"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4" w:history="1">
        <w:r w:rsidRPr="0081375C">
          <w:rPr>
            <w:rStyle w:val="Hipervnculo"/>
            <w:rFonts w:cs="Arial"/>
            <w:bCs/>
          </w:rPr>
          <w:t>Tabla 25 Cronograma de evaluación</w:t>
        </w:r>
        <w:r w:rsidRPr="0081375C">
          <w:rPr>
            <w:bCs/>
          </w:rPr>
          <w:tab/>
        </w:r>
        <w:r w:rsidRPr="0081375C">
          <w:rPr>
            <w:bCs/>
          </w:rPr>
          <w:fldChar w:fldCharType="begin"/>
        </w:r>
        <w:r w:rsidRPr="0081375C">
          <w:rPr>
            <w:bCs/>
          </w:rPr>
          <w:instrText xml:space="preserve"> PAGEREF _Toc233040674 \h </w:instrText>
        </w:r>
        <w:r w:rsidRPr="0081375C">
          <w:rPr>
            <w:bCs/>
          </w:rPr>
        </w:r>
        <w:r w:rsidRPr="0081375C">
          <w:rPr>
            <w:bCs/>
          </w:rPr>
          <w:fldChar w:fldCharType="separate"/>
        </w:r>
        <w:r w:rsidRPr="0081375C">
          <w:rPr>
            <w:bCs/>
          </w:rPr>
          <w:t>68</w:t>
        </w:r>
        <w:r w:rsidRPr="0081375C">
          <w:rPr>
            <w:bCs/>
          </w:rPr>
          <w:fldChar w:fldCharType="end"/>
        </w:r>
      </w:hyperlink>
    </w:p>
    <w:p w14:paraId="1356A0AC" w14:textId="5AC7C052"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5" w:history="1">
        <w:r w:rsidRPr="0081375C">
          <w:rPr>
            <w:rStyle w:val="Hipervnculo"/>
            <w:rFonts w:cs="Arial"/>
            <w:bCs/>
          </w:rPr>
          <w:t>Tabla 26</w:t>
        </w:r>
        <w:r w:rsidRPr="0081375C">
          <w:rPr>
            <w:rStyle w:val="Hipervnculo"/>
            <w:rFonts w:eastAsia="Arial" w:cs="Arial"/>
            <w:bCs/>
          </w:rPr>
          <w:t>. Régimen de funcionamiento y plazos</w:t>
        </w:r>
        <w:r w:rsidRPr="0081375C">
          <w:rPr>
            <w:bCs/>
          </w:rPr>
          <w:tab/>
        </w:r>
        <w:r w:rsidRPr="0081375C">
          <w:rPr>
            <w:bCs/>
          </w:rPr>
          <w:fldChar w:fldCharType="begin"/>
        </w:r>
        <w:r w:rsidRPr="0081375C">
          <w:rPr>
            <w:bCs/>
          </w:rPr>
          <w:instrText xml:space="preserve"> PAGEREF _Toc233040675 \h </w:instrText>
        </w:r>
        <w:r w:rsidRPr="0081375C">
          <w:rPr>
            <w:bCs/>
          </w:rPr>
        </w:r>
        <w:r w:rsidRPr="0081375C">
          <w:rPr>
            <w:bCs/>
          </w:rPr>
          <w:fldChar w:fldCharType="separate"/>
        </w:r>
        <w:r w:rsidRPr="0081375C">
          <w:rPr>
            <w:bCs/>
          </w:rPr>
          <w:t>71</w:t>
        </w:r>
        <w:r w:rsidRPr="0081375C">
          <w:rPr>
            <w:bCs/>
          </w:rPr>
          <w:fldChar w:fldCharType="end"/>
        </w:r>
      </w:hyperlink>
    </w:p>
    <w:p w14:paraId="7D5EA2F3" w14:textId="324CF847"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6" w:history="1">
        <w:r w:rsidRPr="0081375C">
          <w:rPr>
            <w:rStyle w:val="Hipervnculo"/>
            <w:rFonts w:cs="Arial"/>
            <w:bCs/>
          </w:rPr>
          <w:t>Tabla 27</w:t>
        </w:r>
        <w:r w:rsidRPr="0081375C">
          <w:rPr>
            <w:rStyle w:val="Hipervnculo"/>
            <w:rFonts w:eastAsia="Arial" w:cs="Arial"/>
            <w:bCs/>
          </w:rPr>
          <w:t>. Cronograma formalización de acuerdos</w:t>
        </w:r>
        <w:r w:rsidRPr="0081375C">
          <w:rPr>
            <w:bCs/>
          </w:rPr>
          <w:tab/>
        </w:r>
        <w:r w:rsidRPr="0081375C">
          <w:rPr>
            <w:bCs/>
          </w:rPr>
          <w:fldChar w:fldCharType="begin"/>
        </w:r>
        <w:r w:rsidRPr="0081375C">
          <w:rPr>
            <w:bCs/>
          </w:rPr>
          <w:instrText xml:space="preserve"> PAGEREF _Toc233040676 \h </w:instrText>
        </w:r>
        <w:r w:rsidRPr="0081375C">
          <w:rPr>
            <w:bCs/>
          </w:rPr>
        </w:r>
        <w:r w:rsidRPr="0081375C">
          <w:rPr>
            <w:bCs/>
          </w:rPr>
          <w:fldChar w:fldCharType="separate"/>
        </w:r>
        <w:r w:rsidRPr="0081375C">
          <w:rPr>
            <w:bCs/>
          </w:rPr>
          <w:t>72</w:t>
        </w:r>
        <w:r w:rsidRPr="0081375C">
          <w:rPr>
            <w:bCs/>
          </w:rPr>
          <w:fldChar w:fldCharType="end"/>
        </w:r>
      </w:hyperlink>
    </w:p>
    <w:p w14:paraId="329E3485" w14:textId="4535E264"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7" w:history="1">
        <w:r w:rsidRPr="0081375C">
          <w:rPr>
            <w:rStyle w:val="Hipervnculo"/>
            <w:rFonts w:cs="Arial"/>
            <w:bCs/>
          </w:rPr>
          <w:t>Tabla 28 Cronograma de evaluación</w:t>
        </w:r>
        <w:r w:rsidRPr="0081375C">
          <w:rPr>
            <w:bCs/>
          </w:rPr>
          <w:tab/>
        </w:r>
        <w:r w:rsidRPr="0081375C">
          <w:rPr>
            <w:bCs/>
          </w:rPr>
          <w:fldChar w:fldCharType="begin"/>
        </w:r>
        <w:r w:rsidRPr="0081375C">
          <w:rPr>
            <w:bCs/>
          </w:rPr>
          <w:instrText xml:space="preserve"> PAGEREF _Toc233040677 \h </w:instrText>
        </w:r>
        <w:r w:rsidRPr="0081375C">
          <w:rPr>
            <w:bCs/>
          </w:rPr>
        </w:r>
        <w:r w:rsidRPr="0081375C">
          <w:rPr>
            <w:bCs/>
          </w:rPr>
          <w:fldChar w:fldCharType="separate"/>
        </w:r>
        <w:r w:rsidRPr="0081375C">
          <w:rPr>
            <w:bCs/>
          </w:rPr>
          <w:t>74</w:t>
        </w:r>
        <w:r w:rsidRPr="0081375C">
          <w:rPr>
            <w:bCs/>
          </w:rPr>
          <w:fldChar w:fldCharType="end"/>
        </w:r>
      </w:hyperlink>
    </w:p>
    <w:p w14:paraId="7A51B00C" w14:textId="52BAB7B0"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8" w:history="1">
        <w:r w:rsidRPr="0081375C">
          <w:rPr>
            <w:rStyle w:val="Hipervnculo"/>
            <w:rFonts w:cs="Arial"/>
            <w:bCs/>
          </w:rPr>
          <w:t>Tabla 29 Cronograma de seguimiento</w:t>
        </w:r>
        <w:r w:rsidRPr="0081375C">
          <w:rPr>
            <w:bCs/>
          </w:rPr>
          <w:tab/>
        </w:r>
        <w:r w:rsidRPr="0081375C">
          <w:rPr>
            <w:bCs/>
          </w:rPr>
          <w:fldChar w:fldCharType="begin"/>
        </w:r>
        <w:r w:rsidRPr="0081375C">
          <w:rPr>
            <w:bCs/>
          </w:rPr>
          <w:instrText xml:space="preserve"> PAGEREF _Toc233040678 \h </w:instrText>
        </w:r>
        <w:r w:rsidRPr="0081375C">
          <w:rPr>
            <w:bCs/>
          </w:rPr>
        </w:r>
        <w:r w:rsidRPr="0081375C">
          <w:rPr>
            <w:bCs/>
          </w:rPr>
          <w:fldChar w:fldCharType="separate"/>
        </w:r>
        <w:r w:rsidRPr="0081375C">
          <w:rPr>
            <w:bCs/>
          </w:rPr>
          <w:t>77</w:t>
        </w:r>
        <w:r w:rsidRPr="0081375C">
          <w:rPr>
            <w:bCs/>
          </w:rPr>
          <w:fldChar w:fldCharType="end"/>
        </w:r>
      </w:hyperlink>
    </w:p>
    <w:p w14:paraId="2ADBC57B" w14:textId="2543DD8C"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79" w:history="1">
        <w:r w:rsidRPr="0081375C">
          <w:rPr>
            <w:rStyle w:val="Hipervnculo"/>
            <w:rFonts w:cs="Arial"/>
            <w:bCs/>
          </w:rPr>
          <w:t>Tabla 30</w:t>
        </w:r>
        <w:r w:rsidRPr="0081375C">
          <w:rPr>
            <w:rStyle w:val="Hipervnculo"/>
            <w:rFonts w:eastAsia="Aptos" w:cs="Arial"/>
            <w:bCs/>
          </w:rPr>
          <w:t xml:space="preserve"> </w:t>
        </w:r>
        <w:r w:rsidRPr="0081375C">
          <w:rPr>
            <w:rStyle w:val="Hipervnculo"/>
            <w:rFonts w:eastAsia="Arial" w:cs="Arial"/>
            <w:bCs/>
          </w:rPr>
          <w:t>Cronograma de seguimiento jurídico</w:t>
        </w:r>
        <w:r w:rsidRPr="0081375C">
          <w:rPr>
            <w:bCs/>
          </w:rPr>
          <w:tab/>
        </w:r>
        <w:r w:rsidRPr="0081375C">
          <w:rPr>
            <w:bCs/>
          </w:rPr>
          <w:fldChar w:fldCharType="begin"/>
        </w:r>
        <w:r w:rsidRPr="0081375C">
          <w:rPr>
            <w:bCs/>
          </w:rPr>
          <w:instrText xml:space="preserve"> PAGEREF _Toc233040679 \h </w:instrText>
        </w:r>
        <w:r w:rsidRPr="0081375C">
          <w:rPr>
            <w:bCs/>
          </w:rPr>
        </w:r>
        <w:r w:rsidRPr="0081375C">
          <w:rPr>
            <w:bCs/>
          </w:rPr>
          <w:fldChar w:fldCharType="separate"/>
        </w:r>
        <w:r w:rsidRPr="0081375C">
          <w:rPr>
            <w:bCs/>
          </w:rPr>
          <w:t>83</w:t>
        </w:r>
        <w:r w:rsidRPr="0081375C">
          <w:rPr>
            <w:bCs/>
          </w:rPr>
          <w:fldChar w:fldCharType="end"/>
        </w:r>
      </w:hyperlink>
    </w:p>
    <w:p w14:paraId="4C33C2BE" w14:textId="39F0FDFF"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0" w:history="1">
        <w:r w:rsidRPr="0081375C">
          <w:rPr>
            <w:rStyle w:val="Hipervnculo"/>
            <w:rFonts w:cs="Arial"/>
            <w:bCs/>
          </w:rPr>
          <w:t>Tabla 31 Cronograma de seguimiento jurídico</w:t>
        </w:r>
        <w:r w:rsidRPr="0081375C">
          <w:rPr>
            <w:bCs/>
          </w:rPr>
          <w:tab/>
        </w:r>
        <w:r w:rsidRPr="0081375C">
          <w:rPr>
            <w:bCs/>
          </w:rPr>
          <w:fldChar w:fldCharType="begin"/>
        </w:r>
        <w:r w:rsidRPr="0081375C">
          <w:rPr>
            <w:bCs/>
          </w:rPr>
          <w:instrText xml:space="preserve"> PAGEREF _Toc233040680 \h </w:instrText>
        </w:r>
        <w:r w:rsidRPr="0081375C">
          <w:rPr>
            <w:bCs/>
          </w:rPr>
        </w:r>
        <w:r w:rsidRPr="0081375C">
          <w:rPr>
            <w:bCs/>
          </w:rPr>
          <w:fldChar w:fldCharType="separate"/>
        </w:r>
        <w:r w:rsidRPr="0081375C">
          <w:rPr>
            <w:bCs/>
          </w:rPr>
          <w:t>83</w:t>
        </w:r>
        <w:r w:rsidRPr="0081375C">
          <w:rPr>
            <w:bCs/>
          </w:rPr>
          <w:fldChar w:fldCharType="end"/>
        </w:r>
      </w:hyperlink>
    </w:p>
    <w:p w14:paraId="78C2E2AA" w14:textId="3A4E2E8C"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1" w:history="1">
        <w:r w:rsidRPr="0081375C">
          <w:rPr>
            <w:rStyle w:val="Hipervnculo"/>
            <w:rFonts w:cs="Arial"/>
            <w:bCs/>
          </w:rPr>
          <w:t>Tabla 32 Cronograma de aprobación pago del incentivo</w:t>
        </w:r>
        <w:r w:rsidRPr="0081375C">
          <w:rPr>
            <w:bCs/>
          </w:rPr>
          <w:tab/>
        </w:r>
        <w:r w:rsidRPr="0081375C">
          <w:rPr>
            <w:bCs/>
          </w:rPr>
          <w:fldChar w:fldCharType="begin"/>
        </w:r>
        <w:r w:rsidRPr="0081375C">
          <w:rPr>
            <w:bCs/>
          </w:rPr>
          <w:instrText xml:space="preserve"> PAGEREF _Toc233040681 \h </w:instrText>
        </w:r>
        <w:r w:rsidRPr="0081375C">
          <w:rPr>
            <w:bCs/>
          </w:rPr>
        </w:r>
        <w:r w:rsidRPr="0081375C">
          <w:rPr>
            <w:bCs/>
          </w:rPr>
          <w:fldChar w:fldCharType="separate"/>
        </w:r>
        <w:r w:rsidRPr="0081375C">
          <w:rPr>
            <w:bCs/>
          </w:rPr>
          <w:t>85</w:t>
        </w:r>
        <w:r w:rsidRPr="0081375C">
          <w:rPr>
            <w:bCs/>
          </w:rPr>
          <w:fldChar w:fldCharType="end"/>
        </w:r>
      </w:hyperlink>
    </w:p>
    <w:p w14:paraId="677E8652" w14:textId="4E6CB940"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2" w:history="1">
        <w:r w:rsidRPr="0081375C">
          <w:rPr>
            <w:rStyle w:val="Hipervnculo"/>
            <w:rFonts w:cs="Arial"/>
            <w:bCs/>
          </w:rPr>
          <w:t>Tabla 33</w:t>
        </w:r>
        <w:r w:rsidRPr="0081375C">
          <w:rPr>
            <w:rStyle w:val="Hipervnculo"/>
            <w:rFonts w:eastAsia="Aptos" w:cs="Arial"/>
            <w:bCs/>
          </w:rPr>
          <w:t xml:space="preserve"> </w:t>
        </w:r>
        <w:r w:rsidRPr="0081375C">
          <w:rPr>
            <w:rStyle w:val="Hipervnculo"/>
            <w:rFonts w:eastAsia="Arial" w:cs="Arial"/>
            <w:bCs/>
          </w:rPr>
          <w:t>Gradualidad de las Sanciones y Consecuencias</w:t>
        </w:r>
        <w:r w:rsidRPr="0081375C">
          <w:rPr>
            <w:bCs/>
          </w:rPr>
          <w:tab/>
        </w:r>
        <w:r w:rsidRPr="0081375C">
          <w:rPr>
            <w:bCs/>
          </w:rPr>
          <w:fldChar w:fldCharType="begin"/>
        </w:r>
        <w:r w:rsidRPr="0081375C">
          <w:rPr>
            <w:bCs/>
          </w:rPr>
          <w:instrText xml:space="preserve"> PAGEREF _Toc233040682 \h </w:instrText>
        </w:r>
        <w:r w:rsidRPr="0081375C">
          <w:rPr>
            <w:bCs/>
          </w:rPr>
        </w:r>
        <w:r w:rsidRPr="0081375C">
          <w:rPr>
            <w:bCs/>
          </w:rPr>
          <w:fldChar w:fldCharType="separate"/>
        </w:r>
        <w:r w:rsidRPr="0081375C">
          <w:rPr>
            <w:bCs/>
          </w:rPr>
          <w:t>87</w:t>
        </w:r>
        <w:r w:rsidRPr="0081375C">
          <w:rPr>
            <w:bCs/>
          </w:rPr>
          <w:fldChar w:fldCharType="end"/>
        </w:r>
      </w:hyperlink>
    </w:p>
    <w:p w14:paraId="7BF3EDA6" w14:textId="24E15E30"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3" w:history="1">
        <w:r w:rsidRPr="0081375C">
          <w:rPr>
            <w:rStyle w:val="Hipervnculo"/>
            <w:rFonts w:cs="Arial"/>
            <w:bCs/>
          </w:rPr>
          <w:t>Tabla 34</w:t>
        </w:r>
        <w:r w:rsidRPr="0081375C">
          <w:rPr>
            <w:rStyle w:val="Hipervnculo"/>
            <w:rFonts w:eastAsia="Aptos" w:cs="Arial"/>
            <w:bCs/>
          </w:rPr>
          <w:t xml:space="preserve"> </w:t>
        </w:r>
        <w:r w:rsidRPr="0081375C">
          <w:rPr>
            <w:rStyle w:val="Hipervnculo"/>
            <w:rFonts w:eastAsia="Arial" w:cs="Arial"/>
            <w:bCs/>
          </w:rPr>
          <w:t>Cronograma informes de seguimientos</w:t>
        </w:r>
        <w:r w:rsidRPr="0081375C">
          <w:rPr>
            <w:bCs/>
          </w:rPr>
          <w:tab/>
        </w:r>
        <w:r w:rsidRPr="0081375C">
          <w:rPr>
            <w:bCs/>
          </w:rPr>
          <w:fldChar w:fldCharType="begin"/>
        </w:r>
        <w:r w:rsidRPr="0081375C">
          <w:rPr>
            <w:bCs/>
          </w:rPr>
          <w:instrText xml:space="preserve"> PAGEREF _Toc233040683 \h </w:instrText>
        </w:r>
        <w:r w:rsidRPr="0081375C">
          <w:rPr>
            <w:bCs/>
          </w:rPr>
        </w:r>
        <w:r w:rsidRPr="0081375C">
          <w:rPr>
            <w:bCs/>
          </w:rPr>
          <w:fldChar w:fldCharType="separate"/>
        </w:r>
        <w:r w:rsidRPr="0081375C">
          <w:rPr>
            <w:bCs/>
          </w:rPr>
          <w:t>89</w:t>
        </w:r>
        <w:r w:rsidRPr="0081375C">
          <w:rPr>
            <w:bCs/>
          </w:rPr>
          <w:fldChar w:fldCharType="end"/>
        </w:r>
      </w:hyperlink>
    </w:p>
    <w:p w14:paraId="57F0EECB" w14:textId="5F18FEFD"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4" w:history="1">
        <w:r w:rsidRPr="0081375C">
          <w:rPr>
            <w:rStyle w:val="Hipervnculo"/>
            <w:rFonts w:cs="Arial"/>
            <w:bCs/>
          </w:rPr>
          <w:t>Tabla 32</w:t>
        </w:r>
        <w:r w:rsidRPr="0081375C">
          <w:rPr>
            <w:rStyle w:val="Hipervnculo"/>
            <w:rFonts w:eastAsia="Aptos" w:cs="Arial"/>
            <w:bCs/>
          </w:rPr>
          <w:t xml:space="preserve"> Actividades para aprobación del pago</w:t>
        </w:r>
        <w:r w:rsidRPr="0081375C">
          <w:rPr>
            <w:bCs/>
          </w:rPr>
          <w:tab/>
        </w:r>
        <w:r w:rsidRPr="0081375C">
          <w:rPr>
            <w:bCs/>
          </w:rPr>
          <w:fldChar w:fldCharType="begin"/>
        </w:r>
        <w:r w:rsidRPr="0081375C">
          <w:rPr>
            <w:bCs/>
          </w:rPr>
          <w:instrText xml:space="preserve"> PAGEREF _Toc233040684 \h </w:instrText>
        </w:r>
        <w:r w:rsidRPr="0081375C">
          <w:rPr>
            <w:bCs/>
          </w:rPr>
        </w:r>
        <w:r w:rsidRPr="0081375C">
          <w:rPr>
            <w:bCs/>
          </w:rPr>
          <w:fldChar w:fldCharType="separate"/>
        </w:r>
        <w:r w:rsidRPr="0081375C">
          <w:rPr>
            <w:bCs/>
          </w:rPr>
          <w:t>91</w:t>
        </w:r>
        <w:r w:rsidRPr="0081375C">
          <w:rPr>
            <w:bCs/>
          </w:rPr>
          <w:fldChar w:fldCharType="end"/>
        </w:r>
      </w:hyperlink>
    </w:p>
    <w:p w14:paraId="5105B464" w14:textId="2738CAD6"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5" w:history="1">
        <w:r w:rsidRPr="0081375C">
          <w:rPr>
            <w:rStyle w:val="Hipervnculo"/>
            <w:rFonts w:cs="Arial"/>
            <w:bCs/>
          </w:rPr>
          <w:t>Tabla 36 Cronograma para el pago</w:t>
        </w:r>
        <w:r w:rsidRPr="0081375C">
          <w:rPr>
            <w:bCs/>
          </w:rPr>
          <w:tab/>
        </w:r>
        <w:r w:rsidRPr="0081375C">
          <w:rPr>
            <w:bCs/>
          </w:rPr>
          <w:fldChar w:fldCharType="begin"/>
        </w:r>
        <w:r w:rsidRPr="0081375C">
          <w:rPr>
            <w:bCs/>
          </w:rPr>
          <w:instrText xml:space="preserve"> PAGEREF _Toc233040685 \h </w:instrText>
        </w:r>
        <w:r w:rsidRPr="0081375C">
          <w:rPr>
            <w:bCs/>
          </w:rPr>
        </w:r>
        <w:r w:rsidRPr="0081375C">
          <w:rPr>
            <w:bCs/>
          </w:rPr>
          <w:fldChar w:fldCharType="separate"/>
        </w:r>
        <w:r w:rsidRPr="0081375C">
          <w:rPr>
            <w:bCs/>
          </w:rPr>
          <w:t>92</w:t>
        </w:r>
        <w:r w:rsidRPr="0081375C">
          <w:rPr>
            <w:bCs/>
          </w:rPr>
          <w:fldChar w:fldCharType="end"/>
        </w:r>
      </w:hyperlink>
    </w:p>
    <w:p w14:paraId="62E64794" w14:textId="107D07EE"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6" w:history="1">
        <w:r w:rsidRPr="0081375C">
          <w:rPr>
            <w:rStyle w:val="Hipervnculo"/>
            <w:rFonts w:eastAsia="Cambria" w:cs="Arial"/>
            <w:bCs/>
          </w:rPr>
          <w:t>Tabla 37. Supuestos entre actividades habilitadoras y resultados</w:t>
        </w:r>
        <w:r w:rsidRPr="0081375C">
          <w:rPr>
            <w:bCs/>
          </w:rPr>
          <w:tab/>
        </w:r>
        <w:r w:rsidRPr="0081375C">
          <w:rPr>
            <w:bCs/>
          </w:rPr>
          <w:fldChar w:fldCharType="begin"/>
        </w:r>
        <w:r w:rsidRPr="0081375C">
          <w:rPr>
            <w:bCs/>
          </w:rPr>
          <w:instrText xml:space="preserve"> PAGEREF _Toc233040686 \h </w:instrText>
        </w:r>
        <w:r w:rsidRPr="0081375C">
          <w:rPr>
            <w:bCs/>
          </w:rPr>
        </w:r>
        <w:r w:rsidRPr="0081375C">
          <w:rPr>
            <w:bCs/>
          </w:rPr>
          <w:fldChar w:fldCharType="separate"/>
        </w:r>
        <w:r w:rsidRPr="0081375C">
          <w:rPr>
            <w:bCs/>
          </w:rPr>
          <w:t>105</w:t>
        </w:r>
        <w:r w:rsidRPr="0081375C">
          <w:rPr>
            <w:bCs/>
          </w:rPr>
          <w:fldChar w:fldCharType="end"/>
        </w:r>
      </w:hyperlink>
    </w:p>
    <w:p w14:paraId="3754DE25" w14:textId="23C08708"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7" w:history="1">
        <w:r w:rsidRPr="0081375C">
          <w:rPr>
            <w:rStyle w:val="Hipervnculo"/>
            <w:rFonts w:eastAsia="Cambria" w:cs="Arial"/>
            <w:bCs/>
          </w:rPr>
          <w:t>Tabla 38. Supuestos de los resultados de conservación y restauración</w:t>
        </w:r>
        <w:r w:rsidRPr="0081375C">
          <w:rPr>
            <w:bCs/>
          </w:rPr>
          <w:tab/>
        </w:r>
        <w:r w:rsidRPr="0081375C">
          <w:rPr>
            <w:bCs/>
          </w:rPr>
          <w:fldChar w:fldCharType="begin"/>
        </w:r>
        <w:r w:rsidRPr="0081375C">
          <w:rPr>
            <w:bCs/>
          </w:rPr>
          <w:instrText xml:space="preserve"> PAGEREF _Toc233040687 \h </w:instrText>
        </w:r>
        <w:r w:rsidRPr="0081375C">
          <w:rPr>
            <w:bCs/>
          </w:rPr>
        </w:r>
        <w:r w:rsidRPr="0081375C">
          <w:rPr>
            <w:bCs/>
          </w:rPr>
          <w:fldChar w:fldCharType="separate"/>
        </w:r>
        <w:r w:rsidRPr="0081375C">
          <w:rPr>
            <w:bCs/>
          </w:rPr>
          <w:t>106</w:t>
        </w:r>
        <w:r w:rsidRPr="0081375C">
          <w:rPr>
            <w:bCs/>
          </w:rPr>
          <w:fldChar w:fldCharType="end"/>
        </w:r>
      </w:hyperlink>
    </w:p>
    <w:p w14:paraId="4DDB0210" w14:textId="72DE17B2" w:rsidR="00770F7D" w:rsidRPr="0081375C" w:rsidRDefault="00770F7D">
      <w:pPr>
        <w:pStyle w:val="Tabladeilustraciones"/>
        <w:tabs>
          <w:tab w:val="right" w:leader="dot" w:pos="8636"/>
        </w:tabs>
        <w:rPr>
          <w:rFonts w:asciiTheme="minorHAnsi" w:eastAsiaTheme="minorEastAsia" w:hAnsiTheme="minorHAnsi" w:cstheme="minorBidi"/>
          <w:bCs/>
          <w:kern w:val="2"/>
          <w:sz w:val="24"/>
          <w:szCs w:val="24"/>
          <w14:ligatures w14:val="standardContextual"/>
        </w:rPr>
      </w:pPr>
      <w:hyperlink w:anchor="_Toc233040688" w:history="1">
        <w:r w:rsidRPr="0081375C">
          <w:rPr>
            <w:rStyle w:val="Hipervnculo"/>
            <w:rFonts w:eastAsia="Cambria" w:cs="Arial"/>
            <w:bCs/>
          </w:rPr>
          <w:t>Tabla 39. Umbrales de interpretación</w:t>
        </w:r>
        <w:r w:rsidRPr="0081375C">
          <w:rPr>
            <w:bCs/>
          </w:rPr>
          <w:tab/>
        </w:r>
        <w:r w:rsidRPr="0081375C">
          <w:rPr>
            <w:bCs/>
          </w:rPr>
          <w:fldChar w:fldCharType="begin"/>
        </w:r>
        <w:r w:rsidRPr="0081375C">
          <w:rPr>
            <w:bCs/>
          </w:rPr>
          <w:instrText xml:space="preserve"> PAGEREF _Toc233040688 \h </w:instrText>
        </w:r>
        <w:r w:rsidRPr="0081375C">
          <w:rPr>
            <w:bCs/>
          </w:rPr>
        </w:r>
        <w:r w:rsidRPr="0081375C">
          <w:rPr>
            <w:bCs/>
          </w:rPr>
          <w:fldChar w:fldCharType="separate"/>
        </w:r>
        <w:r w:rsidRPr="0081375C">
          <w:rPr>
            <w:bCs/>
          </w:rPr>
          <w:t>112</w:t>
        </w:r>
        <w:r w:rsidRPr="0081375C">
          <w:rPr>
            <w:bCs/>
          </w:rPr>
          <w:fldChar w:fldCharType="end"/>
        </w:r>
      </w:hyperlink>
    </w:p>
    <w:p w14:paraId="70BE85C8" w14:textId="61BAB6F0" w:rsidR="00825D4D" w:rsidRPr="0081375C" w:rsidRDefault="002374D8" w:rsidP="00146947">
      <w:pPr>
        <w:pStyle w:val="Ttulo1"/>
        <w:spacing w:before="0" w:after="0" w:line="23" w:lineRule="atLeast"/>
        <w:rPr>
          <w:rFonts w:eastAsia="Times New Roman" w:cs="Arial"/>
          <w:color w:val="000000" w:themeColor="text1"/>
        </w:rPr>
      </w:pPr>
      <w:r w:rsidRPr="0081375C">
        <w:rPr>
          <w:rStyle w:val="IndexLink"/>
          <w:rFonts w:cs="Arial"/>
          <w:color w:val="000000" w:themeColor="text1"/>
        </w:rPr>
        <w:fldChar w:fldCharType="end"/>
      </w:r>
      <w:bookmarkStart w:id="0" w:name="_Toc232154398"/>
      <w:r w:rsidR="003F6B53" w:rsidRPr="0081375C">
        <w:rPr>
          <w:rStyle w:val="IndexLink"/>
          <w:rFonts w:cs="Arial"/>
          <w:color w:val="000000" w:themeColor="text1"/>
        </w:rPr>
        <w:br w:type="page"/>
      </w:r>
      <w:bookmarkEnd w:id="0"/>
      <w:r w:rsidR="00806784" w:rsidRPr="0081375C">
        <w:rPr>
          <w:rFonts w:ascii="Arial" w:eastAsia="Times New Roman" w:hAnsi="Arial" w:cs="Arial"/>
          <w:bCs/>
          <w:color w:val="000000" w:themeColor="text1"/>
          <w:szCs w:val="24"/>
        </w:rPr>
        <w:lastRenderedPageBreak/>
        <w:t>INTRODUCCI</w:t>
      </w:r>
      <w:r w:rsidR="002723C0" w:rsidRPr="0081375C">
        <w:rPr>
          <w:rFonts w:ascii="Arial" w:eastAsia="Times New Roman" w:hAnsi="Arial" w:cs="Arial"/>
          <w:bCs/>
          <w:color w:val="000000" w:themeColor="text1"/>
          <w:szCs w:val="24"/>
        </w:rPr>
        <w:t>Ó</w:t>
      </w:r>
      <w:r w:rsidR="00806784" w:rsidRPr="0081375C">
        <w:rPr>
          <w:rFonts w:ascii="Arial" w:eastAsia="Times New Roman" w:hAnsi="Arial" w:cs="Arial"/>
          <w:bCs/>
          <w:color w:val="000000" w:themeColor="text1"/>
          <w:szCs w:val="24"/>
        </w:rPr>
        <w:t>N</w:t>
      </w:r>
    </w:p>
    <w:p w14:paraId="5EC2EB6A" w14:textId="77777777" w:rsidR="003F6B53" w:rsidRPr="0081375C" w:rsidRDefault="003F6B53" w:rsidP="003F6B53">
      <w:pPr>
        <w:rPr>
          <w:rFonts w:ascii="Arial" w:hAnsi="Arial" w:cs="Arial"/>
        </w:rPr>
      </w:pPr>
    </w:p>
    <w:p w14:paraId="3EAA04FC"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Pago por Servicios Ambientales (PSA) constituye un instrumento económico-ambiental mediante el cual los beneficiarios de los servicios ecosistémicos entre ellos las entidades territoriales, transfieren un incentivo monetario o en especie a los propietarios, poseedores u ocupantes de buena fe exenta de culpa de predios localizados en ecosistemas estratégicos delimitados y priorizados por la autoridad ambiental competente (Decreto 870 de 2017 y el Decreto 1007 de 2018). Dicho incentivo retribuye las prácticas de uso y manejo del suelo orientadas a la preservación y restauración de ecosistemas naturales, así como a la provisión y mejoramiento de los servicios ambientales asociados al recurso hídrico que abastece los sistemas de acueducto municipal, distrital y regional, y a la biodiversidad ecosistémica, buscando que estos instrumentos generen impactos positivos verificables sobre el bienestar de las comunidades.</w:t>
      </w:r>
    </w:p>
    <w:p w14:paraId="5C917047" w14:textId="77777777" w:rsidR="003F6B53" w:rsidRPr="0081375C" w:rsidRDefault="003F6B53" w:rsidP="003F6B53">
      <w:pPr>
        <w:spacing w:line="23" w:lineRule="atLeast"/>
        <w:jc w:val="both"/>
        <w:rPr>
          <w:rFonts w:ascii="Arial" w:eastAsia="Arial" w:hAnsi="Arial" w:cs="Arial"/>
          <w:color w:val="000000" w:themeColor="text1"/>
        </w:rPr>
      </w:pPr>
    </w:p>
    <w:p w14:paraId="15821889" w14:textId="31E27D9F" w:rsidR="00825D4D" w:rsidRPr="0081375C" w:rsidRDefault="001B396F"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De acuerdo con lo establecido en el Decreto 870 de 2017</w:t>
      </w:r>
      <w:r w:rsidR="00B15B62" w:rsidRPr="0081375C">
        <w:rPr>
          <w:rFonts w:ascii="Arial" w:eastAsia="Arial" w:hAnsi="Arial" w:cs="Arial"/>
          <w:color w:val="000000" w:themeColor="text1"/>
        </w:rPr>
        <w:t xml:space="preserve">, por medio del cual se regula </w:t>
      </w:r>
      <w:r w:rsidR="008D1E4E" w:rsidRPr="0081375C">
        <w:rPr>
          <w:rFonts w:ascii="Arial" w:eastAsia="Arial" w:hAnsi="Arial" w:cs="Arial"/>
          <w:color w:val="000000" w:themeColor="text1"/>
        </w:rPr>
        <w:t xml:space="preserve"> el Pago por Servicios Ambientales</w:t>
      </w:r>
      <w:r w:rsidR="00C17028" w:rsidRPr="0081375C">
        <w:rPr>
          <w:rFonts w:ascii="Arial" w:eastAsia="Arial" w:hAnsi="Arial" w:cs="Arial"/>
          <w:color w:val="000000" w:themeColor="text1"/>
        </w:rPr>
        <w:t xml:space="preserve"> </w:t>
      </w:r>
      <w:r w:rsidR="00757161" w:rsidRPr="0081375C">
        <w:rPr>
          <w:rFonts w:ascii="Arial" w:eastAsia="Arial" w:hAnsi="Arial" w:cs="Arial"/>
          <w:color w:val="000000" w:themeColor="text1"/>
        </w:rPr>
        <w:t xml:space="preserve">(PSA) y otros incentivos a la conservación, </w:t>
      </w:r>
      <w:r w:rsidR="00C17028" w:rsidRPr="0081375C">
        <w:rPr>
          <w:rFonts w:ascii="Arial" w:eastAsia="Arial" w:hAnsi="Arial" w:cs="Arial"/>
          <w:color w:val="000000" w:themeColor="text1"/>
        </w:rPr>
        <w:t xml:space="preserve"> </w:t>
      </w:r>
      <w:r w:rsidR="00757161" w:rsidRPr="0081375C">
        <w:rPr>
          <w:rFonts w:ascii="Arial" w:eastAsia="Arial" w:hAnsi="Arial" w:cs="Arial"/>
          <w:color w:val="000000" w:themeColor="text1"/>
        </w:rPr>
        <w:t>y en el Decreto 1007 de 2018, que reglamenta sus componentes</w:t>
      </w:r>
      <w:r w:rsidR="00757161" w:rsidRPr="0081375C">
        <w:rPr>
          <w:rFonts w:ascii="Arial" w:eastAsia="Arial" w:hAnsi="Arial" w:cs="Arial"/>
          <w:i/>
          <w:iCs/>
          <w:color w:val="000000" w:themeColor="text1"/>
        </w:rPr>
        <w:t xml:space="preserve"> </w:t>
      </w:r>
      <w:r w:rsidR="0067016B" w:rsidRPr="0081375C">
        <w:rPr>
          <w:rFonts w:ascii="Arial" w:eastAsia="Arial" w:hAnsi="Arial" w:cs="Arial"/>
          <w:i/>
          <w:iCs/>
          <w:color w:val="000000" w:themeColor="text1"/>
        </w:rPr>
        <w:t>“las modalidades de Pago por Servicios Ambientales se refieren a los servicios ambientales que se buscan generar o mantener mediante acciones sujetas al reconocimiento del incentivo de pago por servicios ambientale</w:t>
      </w:r>
      <w:r w:rsidR="002C6BA1" w:rsidRPr="0081375C">
        <w:rPr>
          <w:rFonts w:ascii="Arial" w:eastAsia="Arial" w:hAnsi="Arial" w:cs="Arial"/>
          <w:i/>
          <w:iCs/>
          <w:color w:val="000000" w:themeColor="text1"/>
        </w:rPr>
        <w:t>s</w:t>
      </w:r>
      <w:r w:rsidR="00327B15" w:rsidRPr="0081375C">
        <w:rPr>
          <w:rFonts w:ascii="Arial" w:eastAsia="Arial" w:hAnsi="Arial" w:cs="Arial"/>
          <w:i/>
          <w:iCs/>
          <w:color w:val="000000" w:themeColor="text1"/>
        </w:rPr>
        <w:t>..</w:t>
      </w:r>
      <w:r w:rsidR="002C6BA1" w:rsidRPr="0081375C">
        <w:rPr>
          <w:rFonts w:ascii="Arial" w:eastAsia="Arial" w:hAnsi="Arial" w:cs="Arial"/>
          <w:i/>
          <w:iCs/>
          <w:color w:val="000000" w:themeColor="text1"/>
        </w:rPr>
        <w:t>.</w:t>
      </w:r>
      <w:r w:rsidR="00327B15" w:rsidRPr="0081375C">
        <w:rPr>
          <w:rFonts w:ascii="Arial" w:eastAsia="Arial" w:hAnsi="Arial" w:cs="Arial"/>
          <w:i/>
          <w:iCs/>
          <w:color w:val="000000" w:themeColor="text1"/>
        </w:rPr>
        <w:t>”</w:t>
      </w:r>
      <w:r w:rsidR="0067016B" w:rsidRPr="0081375C">
        <w:rPr>
          <w:rFonts w:ascii="Arial" w:eastAsia="Arial" w:hAnsi="Arial" w:cs="Arial"/>
          <w:color w:val="000000" w:themeColor="text1"/>
        </w:rPr>
        <w:t xml:space="preserve"> Dentro de estas modalidades se destacan los pagos por servicios ambientales de</w:t>
      </w:r>
      <w:r w:rsidR="00806784" w:rsidRPr="0081375C">
        <w:rPr>
          <w:rFonts w:ascii="Arial" w:eastAsia="Arial" w:hAnsi="Arial" w:cs="Arial"/>
          <w:color w:val="000000" w:themeColor="text1"/>
        </w:rPr>
        <w:t xml:space="preserve">: a) Pago </w:t>
      </w:r>
      <w:r w:rsidR="00806784" w:rsidRPr="0081375C">
        <w:rPr>
          <w:rFonts w:ascii="Arial" w:eastAsia="Arial" w:hAnsi="Arial" w:cs="Arial"/>
        </w:rPr>
        <w:t xml:space="preserve">por </w:t>
      </w:r>
      <w:r w:rsidR="00806784" w:rsidRPr="0081375C">
        <w:rPr>
          <w:rFonts w:ascii="Arial" w:hAnsi="Arial"/>
        </w:rPr>
        <w:t>servici</w:t>
      </w:r>
      <w:r w:rsidR="00D22AE6" w:rsidRPr="0081375C">
        <w:rPr>
          <w:rFonts w:ascii="Arial" w:hAnsi="Arial"/>
        </w:rPr>
        <w:t>o</w:t>
      </w:r>
      <w:r w:rsidR="00806784" w:rsidRPr="0081375C">
        <w:rPr>
          <w:rFonts w:ascii="Arial" w:hAnsi="Arial"/>
        </w:rPr>
        <w:t xml:space="preserve">s </w:t>
      </w:r>
      <w:r w:rsidR="00806784" w:rsidRPr="0081375C">
        <w:rPr>
          <w:rFonts w:ascii="Arial" w:eastAsia="Arial" w:hAnsi="Arial" w:cs="Arial"/>
        </w:rPr>
        <w:t xml:space="preserve">ambientales </w:t>
      </w:r>
      <w:r w:rsidR="00806784" w:rsidRPr="0081375C">
        <w:rPr>
          <w:rFonts w:ascii="Arial" w:eastAsia="Arial" w:hAnsi="Arial" w:cs="Arial"/>
          <w:color w:val="000000" w:themeColor="text1"/>
        </w:rPr>
        <w:t xml:space="preserve">de regulación y calidad hídrica. La cual, hasta antes de la presente guía, era la única que se encontraba en </w:t>
      </w:r>
      <w:r w:rsidR="00AA645A" w:rsidRPr="0081375C">
        <w:rPr>
          <w:rFonts w:ascii="Arial" w:eastAsia="Arial" w:hAnsi="Arial" w:cs="Arial"/>
          <w:color w:val="000000" w:themeColor="text1"/>
        </w:rPr>
        <w:t xml:space="preserve">implementación </w:t>
      </w:r>
      <w:r w:rsidR="00806784" w:rsidRPr="0081375C">
        <w:rPr>
          <w:rFonts w:ascii="Arial" w:eastAsia="Arial" w:hAnsi="Arial" w:cs="Arial"/>
          <w:color w:val="000000" w:themeColor="text1"/>
        </w:rPr>
        <w:t xml:space="preserve">en el Distrito de </w:t>
      </w:r>
      <w:r w:rsidR="00AA645A" w:rsidRPr="0081375C">
        <w:rPr>
          <w:rFonts w:ascii="Arial" w:eastAsia="Arial" w:hAnsi="Arial" w:cs="Arial"/>
          <w:color w:val="000000" w:themeColor="text1"/>
        </w:rPr>
        <w:t>Medellín</w:t>
      </w:r>
      <w:r w:rsidR="00806784" w:rsidRPr="0081375C">
        <w:rPr>
          <w:rFonts w:ascii="Arial" w:eastAsia="Arial" w:hAnsi="Arial" w:cs="Arial"/>
          <w:color w:val="000000" w:themeColor="text1"/>
        </w:rPr>
        <w:t xml:space="preserve">, b) Pago por servicios ambientales para la conservación de la biodiversidad. La cual se aplicará según lo reglamentado en la presente metodología, además, quedan otras dos modalidades, que podrán ser incluidas más adelante: c) Pago por servicios ambientales de reducción y captura de gases efecto invernadero y d) Pago por servicios ambientales culturales, espirituales y de recreación. </w:t>
      </w:r>
    </w:p>
    <w:p w14:paraId="0F7256A0" w14:textId="77777777" w:rsidR="003F6B53" w:rsidRPr="0081375C" w:rsidRDefault="003F6B53" w:rsidP="003F6B53">
      <w:pPr>
        <w:spacing w:line="23" w:lineRule="atLeast"/>
        <w:jc w:val="both"/>
        <w:rPr>
          <w:rFonts w:ascii="Arial" w:eastAsia="Arial" w:hAnsi="Arial" w:cs="Arial"/>
          <w:color w:val="000000" w:themeColor="text1"/>
        </w:rPr>
      </w:pPr>
    </w:p>
    <w:p w14:paraId="62CB3945" w14:textId="77777777" w:rsidR="00E4437C" w:rsidRPr="0081375C" w:rsidRDefault="00E4437C" w:rsidP="00E4437C">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En concordancia con la evolución del marco normativo nacional, la implementación del esquema de Pago por Servicios Ambientales (PSA) en el Distrito Especial de Ciencia, Tecnología e Innovación de Medellín reconoce y adopta los lineamientos establecidos en el Decreto 1998 de 2023, mediante el cual se reglamentan los Pagos por Servicios Ambientales para la Paz (PSA para la Paz) y el incentivo para la conservación en áreas de dominio público, en desarrollo de lo dispuesto en el artículo 224 de la Ley 2294 de 2023, por la cual se adopta el Plan Nacional de Desarrollo 2022-2026 “Colombia Potencia Mundial de la Vida”. Esta disposición normativa no modifica ni crea nuevas modalidades generales de Pago por Servicios Ambientales, sino que desarrolla mecanismos específicos de implementación, focalización y reconocimiento de incentivos para poblaciones y territorios con condiciones particulares de relevancia social, ambiental y de construcción de paz. En este sentido, el decreto establece los PSA para la Paz como un instrumento orientado a promover acciones de preservación y restauración en predios de propiedad, posesión u ocupación de buena fe por parte de víctimas del conflicto armado, articulándose con los Trabajos, Obras y Actividades con contenido Restaurador-</w:t>
      </w:r>
      <w:r w:rsidRPr="0081375C">
        <w:rPr>
          <w:rFonts w:ascii="Arial" w:eastAsia="Arial" w:hAnsi="Arial" w:cs="Arial"/>
          <w:color w:val="000000" w:themeColor="text1"/>
        </w:rPr>
        <w:lastRenderedPageBreak/>
        <w:t>Reparador (TOAR) definidos en el marco de la Jurisdicción Especial para la Paz (JEP). De igual forma, reglamenta los incentivos para la conservación en áreas de dominio público, dirigidos a comunidades con arraigo territorial y cultural que desarrollan acciones de protección, recuperación y manejo sostenible en ecosistemas estratégicos localizados en bienes de uso público o áreas de dominio público, reconociendo su papel en la conservación de los servicios ecosistémicos y la gobernanza ambiental del territorio.</w:t>
      </w:r>
    </w:p>
    <w:p w14:paraId="168742A3" w14:textId="70C471D4" w:rsidR="002D57CB" w:rsidRPr="0081375C" w:rsidRDefault="002D57CB" w:rsidP="002D57CB">
      <w:pPr>
        <w:spacing w:line="23" w:lineRule="atLeast"/>
        <w:jc w:val="both"/>
        <w:rPr>
          <w:rFonts w:ascii="Arial" w:eastAsia="Arial" w:hAnsi="Arial" w:cs="Arial"/>
          <w:color w:val="000000" w:themeColor="text1"/>
        </w:rPr>
      </w:pPr>
    </w:p>
    <w:p w14:paraId="3C8B00C4" w14:textId="757C74A5"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el marco normativo local, el Distrito Especial de Ciencia Tecnología e Innovación de Medellín, reglamentó el </w:t>
      </w:r>
      <w:r w:rsidR="00DA3668" w:rsidRPr="0081375C">
        <w:rPr>
          <w:rFonts w:ascii="Arial" w:eastAsia="Arial" w:hAnsi="Arial" w:cs="Arial"/>
          <w:color w:val="000000" w:themeColor="text1"/>
        </w:rPr>
        <w:t>pago por servicios ambientales hídricos, en el municipio de Medellín</w:t>
      </w:r>
      <w:r w:rsidR="00F735FA" w:rsidRPr="0081375C">
        <w:rPr>
          <w:rFonts w:ascii="Arial" w:eastAsia="Arial" w:hAnsi="Arial" w:cs="Arial"/>
          <w:color w:val="000000" w:themeColor="text1"/>
        </w:rPr>
        <w:t xml:space="preserve">, </w:t>
      </w:r>
      <w:r w:rsidRPr="0081375C">
        <w:rPr>
          <w:rFonts w:ascii="Arial" w:eastAsia="Arial" w:hAnsi="Arial" w:cs="Arial"/>
          <w:color w:val="000000" w:themeColor="text1"/>
        </w:rPr>
        <w:t xml:space="preserve">mediante el Decreto Municipal No. 1910 de 2016, posteriormente modificado por el Decreto Municipal No. 0602 de 2018. En aras de actualizar y fortalecer dicho marco regulatorio, se expidió el Decreto 1114 del 19 de diciembre de 2023, compilado en el Decreto 774 de 2024 </w:t>
      </w:r>
      <w:r w:rsidRPr="0081375C">
        <w:rPr>
          <w:rFonts w:ascii="Arial" w:eastAsia="Arial" w:hAnsi="Arial" w:cs="Arial"/>
          <w:i/>
          <w:iCs/>
          <w:color w:val="000000" w:themeColor="text1"/>
        </w:rPr>
        <w:t>"Por medio del cual se expide el Decreto Único de Medio Ambiente del Distrito de Medellín"</w:t>
      </w:r>
      <w:r w:rsidRPr="0081375C">
        <w:rPr>
          <w:rFonts w:ascii="Arial" w:eastAsia="Arial" w:hAnsi="Arial" w:cs="Arial"/>
          <w:color w:val="000000" w:themeColor="text1"/>
        </w:rPr>
        <w:t xml:space="preserve">, artículos 2.4.1.1 al 2.4.1.21. El artículo 2.4.1.9 del referido instrumento normativo establece expresamente que </w:t>
      </w:r>
      <w:r w:rsidRPr="0081375C">
        <w:rPr>
          <w:rFonts w:ascii="Arial" w:eastAsia="Arial" w:hAnsi="Arial" w:cs="Arial"/>
          <w:i/>
          <w:iCs/>
          <w:color w:val="000000" w:themeColor="text1"/>
        </w:rPr>
        <w:t>"...la Secretaría de Medio Ambiente deberá formular y adoptar una guía metodológica que detalle cada una de las acciones, actividades, tiempos, modalidades y/o requisitos de las diferentes etapas aquí establecidas..."</w:t>
      </w:r>
      <w:r w:rsidRPr="0081375C">
        <w:rPr>
          <w:rFonts w:ascii="Arial" w:eastAsia="Arial" w:hAnsi="Arial" w:cs="Arial"/>
          <w:color w:val="000000" w:themeColor="text1"/>
        </w:rPr>
        <w:t>.</w:t>
      </w:r>
    </w:p>
    <w:p w14:paraId="211CD9F1" w14:textId="77777777" w:rsidR="003F6B53" w:rsidRPr="0081375C" w:rsidRDefault="003F6B53" w:rsidP="003F6B53">
      <w:pPr>
        <w:spacing w:line="23" w:lineRule="atLeast"/>
        <w:jc w:val="both"/>
        <w:rPr>
          <w:rFonts w:ascii="Arial" w:eastAsia="Arial" w:hAnsi="Arial" w:cs="Arial"/>
          <w:color w:val="000000" w:themeColor="text1"/>
        </w:rPr>
      </w:pPr>
    </w:p>
    <w:p w14:paraId="642C819E" w14:textId="6294F23D"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En cumplimiento de dicha disposición, la Secretaría de Medio Ambiente del Distrito de Medellín formuló la Guía Metodológica para la Implementación, Ejecución y Seguimiento del Esquema de Pago por Servicios Ambientales Hídricos (PSAH). Este instrumento técnico-operativo desarrolló los lineamientos del Decreto 774 de 2024 (compilatorio del Decreto 1114 de 2023), y definió los contenidos mínimos, estrategias, metodologías y procedimientos requeridos para dar cumplimiento a las tres etapas del esquema: implementación, ejecución y seguimiento. La guía metodológica fue implementada en el año 2025, periodo en el cual se estudió y validó la posibilidad de incorporar nuevas modalidades de PSA en el Distrito de Medellín, avanzando en la estructuración técnica de la modalidad de PSA conservación de la biodiversidad (</w:t>
      </w:r>
      <w:proofErr w:type="spellStart"/>
      <w:r w:rsidRPr="0081375C">
        <w:rPr>
          <w:rFonts w:ascii="Arial" w:eastAsia="Arial" w:hAnsi="Arial" w:cs="Arial"/>
          <w:color w:val="000000" w:themeColor="text1"/>
        </w:rPr>
        <w:t>PSABio</w:t>
      </w:r>
      <w:proofErr w:type="spellEnd"/>
      <w:r w:rsidRPr="0081375C">
        <w:rPr>
          <w:rFonts w:ascii="Arial" w:eastAsia="Arial" w:hAnsi="Arial" w:cs="Arial"/>
          <w:color w:val="000000" w:themeColor="text1"/>
        </w:rPr>
        <w:t>).</w:t>
      </w:r>
    </w:p>
    <w:p w14:paraId="70C48885" w14:textId="77777777" w:rsidR="003F6B53" w:rsidRPr="0081375C" w:rsidRDefault="003F6B53" w:rsidP="003F6B53">
      <w:pPr>
        <w:spacing w:line="23" w:lineRule="atLeast"/>
        <w:jc w:val="both"/>
        <w:rPr>
          <w:rFonts w:ascii="Arial" w:eastAsia="Arial" w:hAnsi="Arial" w:cs="Arial"/>
          <w:color w:val="000000" w:themeColor="text1"/>
        </w:rPr>
      </w:pPr>
    </w:p>
    <w:p w14:paraId="26D22FF8" w14:textId="0C998C58"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Es pertinente precisar que la presente guía metodológica representa una segunda versión del instrumento y es aplicable a las dos modalidades: regulación y calidad hídrica y conservación de la biodiversidad, unificando el procedimiento y dividiendo el aparte técnico en dos: calidad y regulación hídrica y conservación de la biodiversidad, complementando así, el procedimiento general y dejando abierto la posibilidad de agregar </w:t>
      </w:r>
      <w:r w:rsidR="005B60A6" w:rsidRPr="0081375C">
        <w:rPr>
          <w:rFonts w:ascii="Arial" w:eastAsia="Arial" w:hAnsi="Arial" w:cs="Arial"/>
          <w:color w:val="000000" w:themeColor="text1"/>
        </w:rPr>
        <w:t xml:space="preserve">otras </w:t>
      </w:r>
      <w:r w:rsidRPr="0081375C">
        <w:rPr>
          <w:rFonts w:ascii="Arial" w:eastAsia="Arial" w:hAnsi="Arial" w:cs="Arial"/>
          <w:color w:val="000000" w:themeColor="text1"/>
        </w:rPr>
        <w:t>modalidades de PSA</w:t>
      </w:r>
      <w:r w:rsidR="00C735D5" w:rsidRPr="0081375C">
        <w:rPr>
          <w:rFonts w:ascii="Arial" w:eastAsia="Arial" w:hAnsi="Arial" w:cs="Arial"/>
          <w:color w:val="000000" w:themeColor="text1"/>
        </w:rPr>
        <w:t>, entre las que se encuentran las</w:t>
      </w:r>
      <w:r w:rsidRPr="0081375C">
        <w:rPr>
          <w:rFonts w:ascii="Arial" w:eastAsia="Arial" w:hAnsi="Arial" w:cs="Arial"/>
          <w:color w:val="000000" w:themeColor="text1"/>
        </w:rPr>
        <w:t xml:space="preserve"> referidas a la reducción y captura de gases de efecto invernadero, y culturales, espirituales y de recreación, establecidas en el marco normativo vigente y que a la fecha se encuentran en fase de desarrollo. Además, es importante mencionar que la guía es susceptible de constante revisión, actualización y ajuste a partir de los resultados del proceso de evaluación y monitoreo, en respuesta a las variaciones en las dinámicas ambientales y socioeconómicas del área de influencia del esquema.</w:t>
      </w:r>
    </w:p>
    <w:p w14:paraId="705C2984" w14:textId="77777777" w:rsidR="003F6B53" w:rsidRPr="0081375C" w:rsidRDefault="003F6B53" w:rsidP="003F6B53">
      <w:pPr>
        <w:spacing w:line="23" w:lineRule="atLeast"/>
        <w:jc w:val="both"/>
        <w:rPr>
          <w:rFonts w:ascii="Arial" w:eastAsia="Arial" w:hAnsi="Arial" w:cs="Arial"/>
          <w:color w:val="000000" w:themeColor="text1"/>
        </w:rPr>
      </w:pPr>
    </w:p>
    <w:p w14:paraId="22A01D87" w14:textId="5B1F931E" w:rsidR="004A3583" w:rsidRPr="0081375C" w:rsidRDefault="00C45403" w:rsidP="004A358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 xml:space="preserve">De conformidad con lo establecido en el parágrafo del artículo 2.4.1.4 del Decreto Distrital 774 de 2024, compilatorio del Decreto 1114 de 2023, el Departamento Administrativo de Planeación (DAP) y la Secretaría de Medio Ambiente, en el marco de sus respectivas competencias, adelantan los estudios y análisis técnicos requeridos para la implementación de las diferentes modalidades de Pago por Servicios Ambientales (PSA) previstas en el Acuerdo 48 de 2014. En desarrollo de este mandato, el Departamento Administrativo de Planeación formuló el documento </w:t>
      </w:r>
      <w:r w:rsidRPr="0081375C">
        <w:rPr>
          <w:rFonts w:ascii="Arial" w:eastAsia="Arial" w:hAnsi="Arial" w:cs="Arial"/>
          <w:i/>
          <w:iCs/>
          <w:color w:val="000000" w:themeColor="text1"/>
        </w:rPr>
        <w:t xml:space="preserve">Criterios de priorización para la implementación del esquema de Pago por Servicios Ambientales en la modalidad de </w:t>
      </w:r>
      <w:proofErr w:type="gramStart"/>
      <w:r w:rsidRPr="0081375C">
        <w:rPr>
          <w:rFonts w:ascii="Arial" w:eastAsia="Arial" w:hAnsi="Arial" w:cs="Arial"/>
          <w:i/>
          <w:iCs/>
          <w:color w:val="000000" w:themeColor="text1"/>
        </w:rPr>
        <w:t>Biodiversidad</w:t>
      </w:r>
      <w:r w:rsidRPr="0081375C">
        <w:rPr>
          <w:rFonts w:ascii="Arial" w:eastAsia="Arial" w:hAnsi="Arial" w:cs="Arial"/>
          <w:color w:val="000000" w:themeColor="text1"/>
        </w:rPr>
        <w:t xml:space="preserve"> </w:t>
      </w:r>
      <w:r w:rsidR="00806784" w:rsidRPr="0081375C">
        <w:rPr>
          <w:rFonts w:ascii="Arial" w:hAnsi="Arial"/>
          <w:color w:val="000000" w:themeColor="text1"/>
        </w:rPr>
        <w:t xml:space="preserve"> (</w:t>
      </w:r>
      <w:proofErr w:type="gramEnd"/>
      <w:r w:rsidR="00806784" w:rsidRPr="0081375C">
        <w:rPr>
          <w:rFonts w:ascii="Arial" w:hAnsi="Arial"/>
          <w:color w:val="000000" w:themeColor="text1"/>
        </w:rPr>
        <w:t xml:space="preserve">DAP-PSAB, 2025), el cual avanzó en la definición del Área de Enfoque PSA Biodiversidad como unidad base para la aplicación de criterios de priorización territorial. </w:t>
      </w:r>
      <w:r w:rsidR="00806784" w:rsidRPr="0081375C">
        <w:rPr>
          <w:rFonts w:ascii="Arial" w:eastAsia="Arial" w:hAnsi="Arial" w:cs="Arial"/>
          <w:color w:val="000000" w:themeColor="text1"/>
        </w:rPr>
        <w:t xml:space="preserve">El área de enfoque corresponde a áreas priorizadas dentro del ecosistema estratégico, donde existe mayor potencial de conservación de la biodiversidad y por lo tanto para la implementación del </w:t>
      </w:r>
      <w:proofErr w:type="spellStart"/>
      <w:r w:rsidR="00806784" w:rsidRPr="0081375C">
        <w:rPr>
          <w:rFonts w:ascii="Arial" w:eastAsia="Arial" w:hAnsi="Arial" w:cs="Arial"/>
          <w:color w:val="000000" w:themeColor="text1"/>
        </w:rPr>
        <w:t>PSABio</w:t>
      </w:r>
      <w:proofErr w:type="spellEnd"/>
      <w:r w:rsidR="00806784" w:rsidRPr="0081375C">
        <w:rPr>
          <w:rFonts w:ascii="Arial" w:eastAsia="Arial" w:hAnsi="Arial" w:cs="Arial"/>
          <w:color w:val="000000" w:themeColor="text1"/>
        </w:rPr>
        <w:t xml:space="preserve">. Este ejercicio constituye un antecedente técnico fundamental para orientar la implementación del PSA Biodiversidad en el Distrito de Medellín; </w:t>
      </w:r>
      <w:r w:rsidR="004A3583" w:rsidRPr="0081375C">
        <w:rPr>
          <w:rFonts w:ascii="Arial" w:eastAsia="Arial" w:hAnsi="Arial" w:cs="Arial"/>
          <w:color w:val="000000" w:themeColor="text1"/>
        </w:rPr>
        <w:t>sin embargo, durante el proceso de revisión y ajuste metodológico se identificó la necesidad de complementar y fortalecer algunos componentes estratégicos, con el propósito de mejorar la representatividad territorial, la articulación con otros instrumentos de planificación ambiental y la efectividad de los criterios de priorización propuestos.</w:t>
      </w:r>
    </w:p>
    <w:p w14:paraId="2910FA1C" w14:textId="73997CC3" w:rsidR="003F6B53" w:rsidRPr="0081375C" w:rsidRDefault="003F6B53" w:rsidP="003F6B53">
      <w:pPr>
        <w:spacing w:line="23" w:lineRule="atLeast"/>
        <w:jc w:val="both"/>
        <w:rPr>
          <w:rFonts w:ascii="Arial" w:eastAsia="Arial" w:hAnsi="Arial" w:cs="Arial"/>
          <w:color w:val="000000" w:themeColor="text1"/>
        </w:rPr>
      </w:pPr>
    </w:p>
    <w:p w14:paraId="4000D2C4" w14:textId="178E04A3"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este </w:t>
      </w:r>
      <w:r w:rsidR="00387366" w:rsidRPr="0081375C">
        <w:rPr>
          <w:rFonts w:ascii="Arial" w:eastAsia="Arial" w:hAnsi="Arial" w:cs="Arial"/>
          <w:color w:val="000000" w:themeColor="text1"/>
        </w:rPr>
        <w:t>contexto</w:t>
      </w:r>
      <w:r w:rsidRPr="0081375C">
        <w:rPr>
          <w:rFonts w:ascii="Arial" w:eastAsia="Arial" w:hAnsi="Arial" w:cs="Arial"/>
          <w:color w:val="000000" w:themeColor="text1"/>
        </w:rPr>
        <w:t xml:space="preserve">, </w:t>
      </w:r>
      <w:r w:rsidR="00A94B2D" w:rsidRPr="0081375C">
        <w:rPr>
          <w:rFonts w:ascii="Arial" w:eastAsia="Arial" w:hAnsi="Arial" w:cs="Arial"/>
          <w:color w:val="000000" w:themeColor="text1"/>
        </w:rPr>
        <w:t xml:space="preserve">el replanteamiento metodológico se </w:t>
      </w:r>
      <w:r w:rsidR="00387366" w:rsidRPr="0081375C">
        <w:rPr>
          <w:rFonts w:ascii="Arial" w:eastAsia="Arial" w:hAnsi="Arial" w:cs="Arial"/>
          <w:color w:val="000000" w:themeColor="text1"/>
        </w:rPr>
        <w:t>concentró</w:t>
      </w:r>
      <w:r w:rsidR="00A94B2D" w:rsidRPr="0081375C">
        <w:rPr>
          <w:rFonts w:ascii="Arial" w:eastAsia="Arial" w:hAnsi="Arial" w:cs="Arial"/>
          <w:color w:val="000000" w:themeColor="text1"/>
        </w:rPr>
        <w:t xml:space="preserve"> </w:t>
      </w:r>
      <w:r w:rsidR="00CF2177" w:rsidRPr="0081375C">
        <w:rPr>
          <w:rFonts w:ascii="Arial" w:eastAsia="Arial" w:hAnsi="Arial" w:cs="Arial"/>
          <w:color w:val="000000" w:themeColor="text1"/>
        </w:rPr>
        <w:t xml:space="preserve">en el </w:t>
      </w:r>
      <w:r w:rsidR="00B623DF" w:rsidRPr="0081375C">
        <w:rPr>
          <w:rFonts w:ascii="Arial" w:eastAsia="Arial" w:hAnsi="Arial" w:cs="Arial"/>
          <w:color w:val="000000" w:themeColor="text1"/>
        </w:rPr>
        <w:t>ámbito</w:t>
      </w:r>
      <w:r w:rsidR="00CF2177" w:rsidRPr="0081375C">
        <w:rPr>
          <w:rFonts w:ascii="Arial" w:eastAsia="Arial" w:hAnsi="Arial" w:cs="Arial"/>
          <w:color w:val="000000" w:themeColor="text1"/>
        </w:rPr>
        <w:t xml:space="preserve"> rural, mientras que </w:t>
      </w:r>
      <w:r w:rsidR="00FC1596" w:rsidRPr="0081375C">
        <w:rPr>
          <w:rFonts w:ascii="Arial" w:eastAsia="Arial" w:hAnsi="Arial" w:cs="Arial"/>
          <w:color w:val="000000" w:themeColor="text1"/>
        </w:rPr>
        <w:t>para</w:t>
      </w:r>
      <w:r w:rsidRPr="0081375C">
        <w:rPr>
          <w:rFonts w:ascii="Arial" w:eastAsia="Arial" w:hAnsi="Arial" w:cs="Arial"/>
          <w:color w:val="000000" w:themeColor="text1"/>
        </w:rPr>
        <w:t xml:space="preserve"> la </w:t>
      </w:r>
      <w:r w:rsidRPr="0081375C">
        <w:rPr>
          <w:rFonts w:ascii="Arial" w:hAnsi="Arial"/>
          <w:color w:val="000000" w:themeColor="text1"/>
        </w:rPr>
        <w:t xml:space="preserve">zona urbana </w:t>
      </w:r>
      <w:r w:rsidR="00FC1596" w:rsidRPr="0081375C">
        <w:rPr>
          <w:rFonts w:ascii="Arial" w:eastAsia="Arial" w:hAnsi="Arial" w:cs="Arial"/>
          <w:color w:val="000000" w:themeColor="text1"/>
        </w:rPr>
        <w:t>se conservaron los alcances y criterios definidos en el ejercicio original. A partir de este insumo técnico, se amplió el análisis mediante la incorporación de áreas de importancia estratégica para el</w:t>
      </w:r>
      <w:r w:rsidRPr="0081375C">
        <w:rPr>
          <w:rFonts w:ascii="Arial" w:eastAsia="Arial" w:hAnsi="Arial" w:cs="Arial"/>
          <w:color w:val="000000" w:themeColor="text1"/>
        </w:rPr>
        <w:t xml:space="preserve"> </w:t>
      </w:r>
      <w:r w:rsidR="0094369D" w:rsidRPr="0081375C">
        <w:rPr>
          <w:rFonts w:ascii="Arial" w:eastAsia="Arial" w:hAnsi="Arial" w:cs="Arial"/>
          <w:color w:val="000000" w:themeColor="text1"/>
        </w:rPr>
        <w:t>Distrito</w:t>
      </w:r>
      <w:r w:rsidRPr="0081375C">
        <w:rPr>
          <w:rFonts w:ascii="Arial" w:eastAsia="Arial" w:hAnsi="Arial" w:cs="Arial"/>
          <w:color w:val="000000" w:themeColor="text1"/>
        </w:rPr>
        <w:t xml:space="preserve">. Asimismo, se incluyó la diferenciación de </w:t>
      </w:r>
      <w:r w:rsidR="002514EB" w:rsidRPr="0081375C">
        <w:rPr>
          <w:rFonts w:ascii="Arial" w:eastAsia="Arial" w:hAnsi="Arial" w:cs="Arial"/>
          <w:color w:val="000000" w:themeColor="text1"/>
        </w:rPr>
        <w:t xml:space="preserve">acciones </w:t>
      </w:r>
      <w:r w:rsidRPr="0081375C">
        <w:rPr>
          <w:rFonts w:ascii="Arial" w:eastAsia="Arial" w:hAnsi="Arial" w:cs="Arial"/>
          <w:color w:val="000000" w:themeColor="text1"/>
        </w:rPr>
        <w:t xml:space="preserve">de PSA, como </w:t>
      </w:r>
      <w:r w:rsidR="002514EB" w:rsidRPr="0081375C">
        <w:rPr>
          <w:rFonts w:ascii="Arial" w:eastAsia="Arial" w:hAnsi="Arial" w:cs="Arial"/>
          <w:color w:val="000000" w:themeColor="text1"/>
        </w:rPr>
        <w:t xml:space="preserve">preservación </w:t>
      </w:r>
      <w:r w:rsidRPr="0081375C">
        <w:rPr>
          <w:rFonts w:ascii="Arial" w:eastAsia="Arial" w:hAnsi="Arial" w:cs="Arial"/>
          <w:color w:val="000000" w:themeColor="text1"/>
        </w:rPr>
        <w:t>y restauración, y se integraron nuevos criterios asociados a los registros biológicos del Distrito y a la dinámica de las coberturas naturales, evaluada a partir de análisis multitemporales. De igual manera, la propuesta incorpora el estado actual de la cobertura como parte del criterio de calidad de la vegetación e incluye el criterio de presión antrópica, asociado a la presión demográfica sobre las coberturas naturales. Con ello, se consolida una lectura más amplia e incluyente del territorio, orientada a evaluar el aporte potencial de los predios a la conservación, la restauración, la conectividad ecológica y la sostenibilidad de la biodiversidad en el Distrito de Medellín.</w:t>
      </w:r>
    </w:p>
    <w:p w14:paraId="7A4DEB2A" w14:textId="77777777" w:rsidR="00387366" w:rsidRPr="0081375C" w:rsidRDefault="00387366" w:rsidP="003F6B53">
      <w:pPr>
        <w:spacing w:line="23" w:lineRule="atLeast"/>
        <w:jc w:val="both"/>
        <w:rPr>
          <w:rFonts w:ascii="Arial" w:eastAsia="Arial" w:hAnsi="Arial" w:cs="Arial"/>
          <w:color w:val="000000" w:themeColor="text1"/>
        </w:rPr>
      </w:pPr>
    </w:p>
    <w:p w14:paraId="473F5D7F" w14:textId="699891DC"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En concordancia con este enfoque adaptativo, y en acatamiento de las directrices reglamentarias del orden nacional en materia de PSA, la operación del esquema de PSA en la modalidad de conservación de la biodiversidad, se iniciará con el presente instrumento en las áreas priorizadas dentro de la jurisdicción del Distrito Especial de Medellín</w:t>
      </w:r>
      <w:r w:rsidR="63EF545C" w:rsidRPr="0081375C">
        <w:rPr>
          <w:rFonts w:ascii="Arial" w:eastAsia="Arial" w:hAnsi="Arial" w:cs="Arial"/>
          <w:color w:val="000000" w:themeColor="text1"/>
        </w:rPr>
        <w:t xml:space="preserve"> (pudiendo continuar en áreas por fuera de su </w:t>
      </w:r>
      <w:r w:rsidR="0DE19E24" w:rsidRPr="0081375C">
        <w:rPr>
          <w:rFonts w:ascii="Arial" w:eastAsia="Arial" w:hAnsi="Arial" w:cs="Arial"/>
          <w:color w:val="000000" w:themeColor="text1"/>
        </w:rPr>
        <w:t>jurisdicción</w:t>
      </w:r>
      <w:r w:rsidR="63EF545C" w:rsidRPr="0081375C">
        <w:rPr>
          <w:rFonts w:ascii="Arial" w:eastAsia="Arial" w:hAnsi="Arial" w:cs="Arial"/>
          <w:color w:val="000000" w:themeColor="text1"/>
        </w:rPr>
        <w:t xml:space="preserve"> como se encuentra establecido en </w:t>
      </w:r>
      <w:r w:rsidR="0094369D" w:rsidRPr="0081375C">
        <w:rPr>
          <w:rFonts w:ascii="Arial" w:eastAsia="Arial" w:hAnsi="Arial" w:cs="Arial"/>
          <w:color w:val="000000" w:themeColor="text1"/>
        </w:rPr>
        <w:t>el</w:t>
      </w:r>
      <w:r w:rsidR="63EF545C" w:rsidRPr="0081375C">
        <w:rPr>
          <w:rFonts w:ascii="Arial" w:eastAsia="Arial" w:hAnsi="Arial" w:cs="Arial"/>
          <w:color w:val="000000" w:themeColor="text1"/>
        </w:rPr>
        <w:t xml:space="preserve"> </w:t>
      </w:r>
      <w:r w:rsidR="63EF545C" w:rsidRPr="0081375C">
        <w:rPr>
          <w:rFonts w:ascii="Arial" w:eastAsia="Arial" w:hAnsi="Arial" w:cs="Arial"/>
        </w:rPr>
        <w:t xml:space="preserve">artículo 2.2.9.8.2.7 del </w:t>
      </w:r>
      <w:r w:rsidR="0094369D" w:rsidRPr="0081375C">
        <w:rPr>
          <w:rFonts w:ascii="Arial" w:eastAsia="Arial" w:hAnsi="Arial" w:cs="Arial"/>
        </w:rPr>
        <w:t xml:space="preserve">Decreto </w:t>
      </w:r>
      <w:r w:rsidR="63EF545C" w:rsidRPr="0081375C">
        <w:rPr>
          <w:rFonts w:ascii="Arial" w:eastAsia="Arial" w:hAnsi="Arial" w:cs="Arial"/>
        </w:rPr>
        <w:t>1076</w:t>
      </w:r>
      <w:r w:rsidR="0094369D" w:rsidRPr="0081375C">
        <w:rPr>
          <w:rFonts w:ascii="Arial" w:eastAsia="Arial" w:hAnsi="Arial" w:cs="Arial"/>
        </w:rPr>
        <w:t xml:space="preserve"> de </w:t>
      </w:r>
      <w:r w:rsidR="00050D68" w:rsidRPr="0081375C">
        <w:rPr>
          <w:rFonts w:ascii="Arial" w:eastAsia="Arial" w:hAnsi="Arial" w:cs="Arial"/>
        </w:rPr>
        <w:t>2015</w:t>
      </w:r>
      <w:r w:rsidR="63EF545C" w:rsidRPr="0081375C">
        <w:rPr>
          <w:rFonts w:ascii="Arial" w:eastAsia="Arial" w:hAnsi="Arial" w:cs="Arial"/>
          <w:color w:val="000000" w:themeColor="text1"/>
        </w:rPr>
        <w:t>)</w:t>
      </w:r>
      <w:r w:rsidR="53ABCE9C" w:rsidRPr="0081375C">
        <w:rPr>
          <w:rFonts w:ascii="Arial" w:eastAsia="Arial" w:hAnsi="Arial" w:cs="Arial"/>
          <w:color w:val="000000" w:themeColor="text1"/>
        </w:rPr>
        <w:t>.</w:t>
      </w:r>
      <w:r w:rsidRPr="0081375C">
        <w:rPr>
          <w:rFonts w:ascii="Arial" w:eastAsia="Arial" w:hAnsi="Arial" w:cs="Arial"/>
          <w:color w:val="000000" w:themeColor="text1"/>
        </w:rPr>
        <w:t xml:space="preserve"> El incentivo se reconocerá en modalidad monetaria por las acciones de </w:t>
      </w:r>
      <w:r w:rsidR="00D9158B" w:rsidRPr="0081375C">
        <w:rPr>
          <w:rFonts w:ascii="Arial" w:eastAsia="Arial" w:hAnsi="Arial" w:cs="Arial"/>
          <w:color w:val="000000" w:themeColor="text1"/>
        </w:rPr>
        <w:t>preservación</w:t>
      </w:r>
      <w:r w:rsidRPr="0081375C">
        <w:rPr>
          <w:rFonts w:ascii="Arial" w:eastAsia="Arial" w:hAnsi="Arial" w:cs="Arial"/>
          <w:color w:val="000000" w:themeColor="text1"/>
        </w:rPr>
        <w:t xml:space="preserve"> y restauración</w:t>
      </w:r>
      <w:r w:rsidR="00D9158B" w:rsidRPr="0081375C">
        <w:rPr>
          <w:rFonts w:ascii="Arial" w:eastAsia="Arial" w:hAnsi="Arial" w:cs="Arial"/>
          <w:color w:val="000000" w:themeColor="text1"/>
        </w:rPr>
        <w:t xml:space="preserve"> ecológica</w:t>
      </w:r>
      <w:r w:rsidRPr="0081375C">
        <w:rPr>
          <w:rFonts w:ascii="Arial" w:eastAsia="Arial" w:hAnsi="Arial" w:cs="Arial"/>
          <w:color w:val="000000" w:themeColor="text1"/>
        </w:rPr>
        <w:t xml:space="preserve">, para este último se podrán implementar procesos de restauración asistida (activa) y restauración ecológica espontánea (pasiva), los cuales serán direccionados por </w:t>
      </w:r>
      <w:r w:rsidRPr="0081375C">
        <w:rPr>
          <w:rFonts w:ascii="Arial" w:eastAsia="Arial" w:hAnsi="Arial" w:cs="Arial"/>
          <w:color w:val="000000" w:themeColor="text1"/>
        </w:rPr>
        <w:lastRenderedPageBreak/>
        <w:t>el equipo técnico de la Secretaría de Medio Ambiente, con la disposición de los recursos requeridos por parte del participante vinculado al esquema.</w:t>
      </w:r>
      <w:r w:rsidR="608CCA27" w:rsidRPr="0081375C">
        <w:rPr>
          <w:rFonts w:ascii="Arial" w:eastAsia="Arial" w:hAnsi="Arial" w:cs="Arial"/>
          <w:color w:val="000000" w:themeColor="text1"/>
        </w:rPr>
        <w:t xml:space="preserve"> </w:t>
      </w:r>
    </w:p>
    <w:p w14:paraId="56DBCA0B" w14:textId="77777777" w:rsidR="003F6B53" w:rsidRPr="0081375C" w:rsidRDefault="003F6B53" w:rsidP="003F6B53">
      <w:pPr>
        <w:spacing w:line="23" w:lineRule="atLeast"/>
        <w:jc w:val="both"/>
        <w:rPr>
          <w:rFonts w:ascii="Arial" w:eastAsia="Arial" w:hAnsi="Arial" w:cs="Arial"/>
          <w:color w:val="000000" w:themeColor="text1"/>
        </w:rPr>
      </w:pPr>
    </w:p>
    <w:p w14:paraId="4A2366AF" w14:textId="33C8A1CB" w:rsidR="00825D4D" w:rsidRPr="0081375C" w:rsidRDefault="00806784" w:rsidP="003F6B53">
      <w:pPr>
        <w:spacing w:line="23" w:lineRule="atLeast"/>
        <w:jc w:val="both"/>
        <w:rPr>
          <w:rStyle w:val="ng-star-inserted"/>
          <w:rFonts w:ascii="Arial" w:hAnsi="Arial" w:cs="Arial"/>
          <w:color w:val="000000" w:themeColor="text1"/>
        </w:rPr>
      </w:pPr>
      <w:r w:rsidRPr="0081375C">
        <w:rPr>
          <w:rStyle w:val="ng-star-inserted"/>
          <w:rFonts w:ascii="Arial" w:hAnsi="Arial" w:cs="Arial"/>
          <w:color w:val="000000" w:themeColor="text1"/>
        </w:rPr>
        <w:t>Implementar el PSA en cualquiera de sus modalidades es fundamental, ya que, por la presión antrópica, los ecosistemas estratégicos se encuentran vulnerables a la deforestación y usos no adecuados del suelo, con lo cual se pone en riesgo estas áreas, amenazando con la pérdida de servicios ambientales esenciales y su biodiversidad. Este incentivo surge como una necesidad estricta para frenar la transformación ambiental, ofreciendo alternativas económicas voluntarias que desincentivan actividades dañinas y permiten el mantenimiento de hábitats para especies endémicas, migratorias o amenazadas, asimismo, al integrarse en la Estructura Ecológica Principal, este esquema garantiza la conectividad biológica y la integridad de los procesos ecológicos.</w:t>
      </w:r>
    </w:p>
    <w:p w14:paraId="470691FC" w14:textId="77777777" w:rsidR="003F6B53" w:rsidRPr="0081375C" w:rsidRDefault="003F6B53" w:rsidP="003F6B53">
      <w:pPr>
        <w:spacing w:line="23" w:lineRule="atLeast"/>
        <w:jc w:val="both"/>
        <w:rPr>
          <w:rStyle w:val="ng-star-inserted"/>
          <w:rFonts w:ascii="Arial" w:hAnsi="Arial" w:cs="Arial"/>
          <w:color w:val="000000" w:themeColor="text1"/>
        </w:rPr>
      </w:pPr>
    </w:p>
    <w:p w14:paraId="398F9648" w14:textId="6FBDF90D"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Finalmente, en el Distrito de Medellín, la aplicación del PSA representa la gestión ambiental urbana-rural, integrándose como un instrumento de financiación en el Plan de Ordenamiento Territorial (POT), trascendiendo el enfoque meramente hídrico para incorporar modalidades de biodiversidad, carbono y servicios culturales. La importancia de este instrumento para la región radica en la protección de los cinturones verdes y corredores ecológicos que mitigan el efecto de isla de</w:t>
      </w:r>
      <w:r w:rsidRPr="0081375C">
        <w:rPr>
          <w:rFonts w:ascii="Arial" w:eastAsia="Aptos" w:hAnsi="Arial" w:cs="Arial"/>
          <w:color w:val="000000" w:themeColor="text1"/>
          <w:sz w:val="24"/>
          <w:szCs w:val="24"/>
        </w:rPr>
        <w:t xml:space="preserve"> </w:t>
      </w:r>
      <w:r w:rsidRPr="0081375C">
        <w:rPr>
          <w:rFonts w:ascii="Arial" w:eastAsia="Aptos" w:hAnsi="Arial" w:cs="Arial"/>
          <w:color w:val="000000" w:themeColor="text1"/>
        </w:rPr>
        <w:t xml:space="preserve">calor y garantizan la provisión de agua para el Valle de Aburrá, convirtiendo al PSA en una herramienta de </w:t>
      </w:r>
      <w:r w:rsidRPr="0081375C">
        <w:rPr>
          <w:rFonts w:ascii="Arial" w:hAnsi="Arial"/>
          <w:color w:val="000000" w:themeColor="text1"/>
        </w:rPr>
        <w:t>justicia</w:t>
      </w:r>
      <w:r w:rsidRPr="0081375C">
        <w:rPr>
          <w:rFonts w:ascii="Arial" w:eastAsia="Aptos" w:hAnsi="Arial" w:cs="Arial"/>
          <w:color w:val="000000" w:themeColor="text1"/>
        </w:rPr>
        <w:t xml:space="preserve"> ambiental que reconoce al propietario como el principal guardián de la seguridad hídrica y climática del territorio.</w:t>
      </w:r>
    </w:p>
    <w:p w14:paraId="4E714D93" w14:textId="77777777" w:rsidR="003F6B53" w:rsidRPr="0081375C" w:rsidRDefault="003F6B53" w:rsidP="003F6B53">
      <w:pPr>
        <w:spacing w:line="23" w:lineRule="atLeast"/>
        <w:jc w:val="both"/>
        <w:rPr>
          <w:rFonts w:ascii="Arial" w:eastAsia="Aptos" w:hAnsi="Arial" w:cs="Arial"/>
          <w:color w:val="000000" w:themeColor="text1"/>
        </w:rPr>
      </w:pPr>
    </w:p>
    <w:p w14:paraId="521C0389" w14:textId="77777777" w:rsidR="003F6B53" w:rsidRPr="0081375C" w:rsidRDefault="003F6B53" w:rsidP="003F6B53">
      <w:pPr>
        <w:spacing w:line="23" w:lineRule="atLeast"/>
        <w:jc w:val="both"/>
        <w:rPr>
          <w:rFonts w:ascii="Arial" w:hAnsi="Arial" w:cs="Arial"/>
          <w:color w:val="000000" w:themeColor="text1"/>
        </w:rPr>
      </w:pPr>
    </w:p>
    <w:p w14:paraId="17105845" w14:textId="77777777" w:rsidR="003F6B53" w:rsidRPr="0081375C" w:rsidRDefault="003F6B53" w:rsidP="003F6B53">
      <w:pPr>
        <w:rPr>
          <w:rFonts w:ascii="Arial" w:eastAsia="Times New Roman" w:hAnsi="Arial" w:cs="Arial"/>
          <w:b/>
          <w:bCs/>
          <w:color w:val="000000" w:themeColor="text1"/>
          <w:szCs w:val="24"/>
        </w:rPr>
      </w:pPr>
      <w:bookmarkStart w:id="1" w:name="_Toc232154399"/>
      <w:r w:rsidRPr="0081375C">
        <w:rPr>
          <w:rFonts w:ascii="Arial" w:eastAsia="Times New Roman" w:hAnsi="Arial" w:cs="Arial"/>
          <w:bCs/>
          <w:color w:val="000000" w:themeColor="text1"/>
          <w:szCs w:val="24"/>
        </w:rPr>
        <w:br w:type="page"/>
      </w:r>
    </w:p>
    <w:p w14:paraId="204218AE" w14:textId="3A74348A" w:rsidR="00825D4D" w:rsidRPr="0081375C" w:rsidRDefault="00806784" w:rsidP="003F6B53">
      <w:pPr>
        <w:pStyle w:val="Ttulo1"/>
        <w:spacing w:before="0" w:after="0" w:line="23" w:lineRule="atLeast"/>
        <w:rPr>
          <w:rFonts w:ascii="Arial" w:eastAsia="Times New Roman" w:hAnsi="Arial" w:cs="Arial"/>
          <w:bCs/>
          <w:color w:val="000000" w:themeColor="text1"/>
          <w:szCs w:val="24"/>
        </w:rPr>
      </w:pPr>
      <w:bookmarkStart w:id="2" w:name="_Toc233304160"/>
      <w:r w:rsidRPr="0081375C">
        <w:rPr>
          <w:rFonts w:ascii="Arial" w:eastAsia="Times New Roman" w:hAnsi="Arial" w:cs="Arial"/>
          <w:bCs/>
          <w:color w:val="000000" w:themeColor="text1"/>
          <w:szCs w:val="24"/>
        </w:rPr>
        <w:lastRenderedPageBreak/>
        <w:t>DEFINICIONES</w:t>
      </w:r>
      <w:bookmarkEnd w:id="1"/>
      <w:bookmarkEnd w:id="2"/>
    </w:p>
    <w:p w14:paraId="7BFA64CC" w14:textId="77777777" w:rsidR="00497786" w:rsidRPr="0081375C" w:rsidRDefault="00497786" w:rsidP="00DC2ECD">
      <w:pPr>
        <w:spacing w:line="23" w:lineRule="atLeast"/>
        <w:jc w:val="both"/>
        <w:rPr>
          <w:rFonts w:ascii="Arial" w:hAnsi="Arial" w:cs="Arial"/>
        </w:rPr>
      </w:pPr>
    </w:p>
    <w:p w14:paraId="786F2EDF" w14:textId="7A96885E" w:rsidR="00DC2ECD" w:rsidRPr="0081375C" w:rsidRDefault="00DC2ECD" w:rsidP="00DC2ECD">
      <w:pPr>
        <w:spacing w:line="23" w:lineRule="atLeast"/>
        <w:jc w:val="both"/>
        <w:rPr>
          <w:rFonts w:ascii="Arial" w:eastAsia="Arial" w:hAnsi="Arial" w:cs="Arial"/>
          <w:color w:val="000000" w:themeColor="text1"/>
        </w:rPr>
      </w:pPr>
      <w:r w:rsidRPr="0081375C">
        <w:rPr>
          <w:rFonts w:ascii="Arial" w:eastAsia="Aptos" w:hAnsi="Arial" w:cs="Arial"/>
          <w:b/>
          <w:bCs/>
          <w:color w:val="000000" w:themeColor="text1"/>
        </w:rPr>
        <w:t>PRESERVACIÓN:</w:t>
      </w:r>
      <w:r w:rsidRPr="0081375C">
        <w:rPr>
          <w:rFonts w:ascii="Arial" w:eastAsia="Arial" w:hAnsi="Arial" w:cs="Arial"/>
          <w:b/>
          <w:bCs/>
          <w:color w:val="000000" w:themeColor="text1"/>
        </w:rPr>
        <w:t xml:space="preserve"> </w:t>
      </w:r>
      <w:r w:rsidRPr="0081375C">
        <w:rPr>
          <w:rFonts w:ascii="Arial" w:eastAsia="Arial" w:hAnsi="Arial" w:cs="Arial"/>
          <w:color w:val="000000" w:themeColor="text1"/>
        </w:rPr>
        <w:t>es la acción que reconoce el incentivo de pago por servicios ambientales a los propietarios, poseedores u ocupantes por destinar áreas de sus predios para mantener las coberturas naturales y la biodiversidad.</w:t>
      </w:r>
    </w:p>
    <w:p w14:paraId="5490D2AD" w14:textId="77777777" w:rsidR="00DC2ECD" w:rsidRPr="0081375C" w:rsidRDefault="00DC2ECD" w:rsidP="00DC2ECD">
      <w:pPr>
        <w:spacing w:line="23" w:lineRule="atLeast"/>
        <w:jc w:val="both"/>
        <w:rPr>
          <w:rFonts w:ascii="Arial" w:eastAsia="Arial" w:hAnsi="Arial" w:cs="Arial"/>
          <w:color w:val="000000" w:themeColor="text1"/>
        </w:rPr>
      </w:pPr>
    </w:p>
    <w:p w14:paraId="22B98BE0" w14:textId="48A7F3EE" w:rsidR="00825D4D" w:rsidRPr="0081375C" w:rsidRDefault="00DC2ECD" w:rsidP="003F6B53">
      <w:pPr>
        <w:spacing w:line="23" w:lineRule="atLeast"/>
        <w:jc w:val="both"/>
        <w:rPr>
          <w:rFonts w:ascii="Arial" w:eastAsia="Arial" w:hAnsi="Arial" w:cs="Arial"/>
          <w:color w:val="000000" w:themeColor="text1"/>
        </w:rPr>
      </w:pPr>
      <w:r w:rsidRPr="0081375C">
        <w:rPr>
          <w:rFonts w:ascii="Arial" w:eastAsia="Aptos" w:hAnsi="Arial" w:cs="Arial"/>
          <w:b/>
          <w:bCs/>
          <w:color w:val="000000" w:themeColor="text1"/>
        </w:rPr>
        <w:t>RESTAURACIÓN</w:t>
      </w:r>
      <w:r w:rsidR="00806784" w:rsidRPr="0081375C">
        <w:rPr>
          <w:rFonts w:ascii="Arial" w:eastAsia="Aptos" w:hAnsi="Arial" w:cs="Arial"/>
          <w:b/>
          <w:bCs/>
          <w:color w:val="000000" w:themeColor="text1"/>
        </w:rPr>
        <w:t>:</w:t>
      </w:r>
      <w:r w:rsidR="00806784" w:rsidRPr="0081375C">
        <w:rPr>
          <w:rFonts w:ascii="Arial" w:eastAsia="Arial" w:hAnsi="Arial" w:cs="Arial"/>
          <w:b/>
          <w:bCs/>
          <w:color w:val="000000" w:themeColor="text1"/>
        </w:rPr>
        <w:t xml:space="preserve"> </w:t>
      </w:r>
      <w:r w:rsidR="00806784" w:rsidRPr="0081375C">
        <w:rPr>
          <w:rFonts w:ascii="Arial" w:eastAsia="Arial" w:hAnsi="Arial" w:cs="Arial"/>
          <w:color w:val="000000" w:themeColor="text1"/>
        </w:rPr>
        <w:t>es la acción que reconoce el incentivo de pago por servicios ambientales a los propietarios, poseedores u ocupantes por destinar áreas de sus predios que han sido degradados o deforestados, para que se restauren, parcial o totalmente, las coberturas naturales y la biodiversidad.</w:t>
      </w:r>
    </w:p>
    <w:p w14:paraId="0237B90C" w14:textId="77777777" w:rsidR="003F6B53" w:rsidRPr="0081375C" w:rsidRDefault="003F6B53" w:rsidP="003F6B53">
      <w:pPr>
        <w:spacing w:line="23" w:lineRule="atLeast"/>
        <w:jc w:val="both"/>
        <w:rPr>
          <w:rFonts w:ascii="Arial" w:eastAsia="Arial" w:hAnsi="Arial" w:cs="Arial"/>
          <w:color w:val="000000" w:themeColor="text1"/>
        </w:rPr>
      </w:pPr>
    </w:p>
    <w:p w14:paraId="58519D54" w14:textId="490113AE" w:rsidR="00825D4D" w:rsidRPr="0081375C" w:rsidRDefault="00DC2ECD" w:rsidP="003F6B53">
      <w:pPr>
        <w:spacing w:line="23" w:lineRule="atLeast"/>
        <w:jc w:val="both"/>
        <w:rPr>
          <w:rFonts w:ascii="Arial" w:eastAsia="Aptos" w:hAnsi="Arial" w:cs="Arial"/>
          <w:color w:val="000000" w:themeColor="text1"/>
        </w:rPr>
      </w:pPr>
      <w:r w:rsidRPr="0081375C">
        <w:rPr>
          <w:rFonts w:ascii="Arial" w:eastAsia="Aptos" w:hAnsi="Arial" w:cs="Arial"/>
          <w:b/>
          <w:bCs/>
          <w:color w:val="000000" w:themeColor="text1"/>
        </w:rPr>
        <w:t>A</w:t>
      </w:r>
      <w:r w:rsidR="608C8B8C" w:rsidRPr="0081375C">
        <w:rPr>
          <w:rFonts w:ascii="Arial" w:eastAsia="Aptos" w:hAnsi="Arial" w:cs="Arial"/>
          <w:b/>
          <w:bCs/>
          <w:color w:val="000000" w:themeColor="text1"/>
        </w:rPr>
        <w:t>CUERDOS CONDICIONADOS A RESULTADOS O ACUERDOS DE PAGO:</w:t>
      </w:r>
      <w:r w:rsidR="608C8B8C" w:rsidRPr="0081375C">
        <w:rPr>
          <w:rFonts w:ascii="Arial" w:eastAsia="Aptos" w:hAnsi="Arial" w:cs="Arial"/>
          <w:color w:val="000000" w:themeColor="text1"/>
        </w:rPr>
        <w:t xml:space="preserve"> son los instrumentos de tipo contractual que formalizan voluntariamente los compromisos para efectuar los pagos. Por medio de estos se establecen acuerdos voluntarios entre los beneficiarios del servicio ambiental y los beneficiarios del incentivo con respecto al objeto, acciones, periodicidad y temporalidad, valor de la transferencia (dinero o especie), obligaciones y multas en caso de incumplimiento y garantías. (MINAMBIENTE)</w:t>
      </w:r>
    </w:p>
    <w:p w14:paraId="30740FE1" w14:textId="77777777" w:rsidR="003F6B53" w:rsidRPr="0081375C" w:rsidRDefault="003F6B53" w:rsidP="003F6B53">
      <w:pPr>
        <w:spacing w:line="23" w:lineRule="atLeast"/>
        <w:jc w:val="both"/>
        <w:rPr>
          <w:rFonts w:ascii="Arial" w:eastAsia="Aptos" w:hAnsi="Arial" w:cs="Arial"/>
          <w:color w:val="000000" w:themeColor="text1"/>
        </w:rPr>
      </w:pPr>
    </w:p>
    <w:p w14:paraId="1296444A" w14:textId="5D2EB87A" w:rsidR="00825D4D" w:rsidRPr="0081375C" w:rsidRDefault="00DC2ECD" w:rsidP="003F6B53">
      <w:pPr>
        <w:spacing w:line="23" w:lineRule="atLeast"/>
        <w:jc w:val="both"/>
        <w:rPr>
          <w:rFonts w:ascii="Arial" w:eastAsia="Arial" w:hAnsi="Arial" w:cs="Arial"/>
          <w:color w:val="000000" w:themeColor="text1"/>
        </w:rPr>
      </w:pPr>
      <w:r w:rsidRPr="0081375C">
        <w:rPr>
          <w:rFonts w:ascii="Arial" w:eastAsia="Aptos" w:hAnsi="Arial" w:cs="Arial"/>
          <w:b/>
          <w:bCs/>
          <w:color w:val="000000" w:themeColor="text1"/>
        </w:rPr>
        <w:t>A</w:t>
      </w:r>
      <w:r w:rsidR="00806784" w:rsidRPr="0081375C">
        <w:rPr>
          <w:rFonts w:ascii="Arial" w:eastAsia="Aptos" w:hAnsi="Arial" w:cs="Arial"/>
          <w:b/>
          <w:bCs/>
          <w:color w:val="000000" w:themeColor="text1"/>
        </w:rPr>
        <w:t>GRICULTURA REGENERATIVA</w:t>
      </w:r>
      <w:r w:rsidR="00806784" w:rsidRPr="0081375C">
        <w:rPr>
          <w:rFonts w:ascii="Arial" w:eastAsia="Arial" w:hAnsi="Arial" w:cs="Arial"/>
          <w:b/>
          <w:bCs/>
          <w:color w:val="000000" w:themeColor="text1"/>
        </w:rPr>
        <w:t xml:space="preserve">: </w:t>
      </w:r>
      <w:r w:rsidR="00806784" w:rsidRPr="0081375C">
        <w:rPr>
          <w:rFonts w:ascii="Arial" w:eastAsia="Arial" w:hAnsi="Arial" w:cs="Arial"/>
          <w:color w:val="000000" w:themeColor="text1"/>
        </w:rPr>
        <w:t>práctica agrícola que busca restaurar y mejorar la salud del suelo, aumentar la biodiversidad, y regenerar ecosistemas mediante técnicas</w:t>
      </w:r>
      <w:r w:rsidR="00FA5433" w:rsidRPr="0081375C">
        <w:rPr>
          <w:rFonts w:ascii="Arial" w:eastAsia="Arial" w:hAnsi="Arial" w:cs="Arial"/>
          <w:color w:val="000000" w:themeColor="text1"/>
        </w:rPr>
        <w:t xml:space="preserve"> </w:t>
      </w:r>
      <w:r w:rsidR="00806784" w:rsidRPr="0081375C">
        <w:rPr>
          <w:rFonts w:ascii="Arial" w:eastAsia="Arial" w:hAnsi="Arial" w:cs="Arial"/>
          <w:color w:val="000000" w:themeColor="text1"/>
        </w:rPr>
        <w:t>sostenibles que imitan los procesos naturales.</w:t>
      </w:r>
    </w:p>
    <w:p w14:paraId="4C203D78" w14:textId="77777777" w:rsidR="003F6B53" w:rsidRPr="0081375C" w:rsidRDefault="003F6B53" w:rsidP="003F6B53">
      <w:pPr>
        <w:spacing w:line="23" w:lineRule="atLeast"/>
        <w:jc w:val="both"/>
        <w:rPr>
          <w:rFonts w:ascii="Arial" w:eastAsia="Arial" w:hAnsi="Arial" w:cs="Arial"/>
          <w:color w:val="000000" w:themeColor="text1"/>
        </w:rPr>
      </w:pPr>
    </w:p>
    <w:p w14:paraId="3F7A1AA1" w14:textId="6BFE0C55" w:rsidR="00825D4D" w:rsidRPr="0081375C" w:rsidRDefault="004E4D94"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AGROQUÍMICO</w:t>
      </w:r>
      <w:r w:rsidR="00FA5433" w:rsidRPr="0081375C">
        <w:rPr>
          <w:rFonts w:ascii="Arial" w:eastAsia="Arial" w:hAnsi="Arial" w:cs="Arial"/>
          <w:b/>
          <w:bCs/>
          <w:color w:val="000000" w:themeColor="text1"/>
        </w:rPr>
        <w:t xml:space="preserve">: </w:t>
      </w:r>
      <w:r w:rsidR="00FA5433" w:rsidRPr="0081375C">
        <w:rPr>
          <w:rFonts w:ascii="Arial" w:eastAsia="Arial" w:hAnsi="Arial" w:cs="Arial"/>
          <w:color w:val="000000" w:themeColor="text1"/>
        </w:rPr>
        <w:t>sustancia química utilizada en la agricultura, como fertilizantes, pesticidas o herbicidas, destinada a los cultivos para controlar plagas y enfermedades.</w:t>
      </w:r>
    </w:p>
    <w:p w14:paraId="1DB80077" w14:textId="77777777" w:rsidR="003F6B53" w:rsidRPr="0081375C" w:rsidRDefault="003F6B53" w:rsidP="003F6B53">
      <w:pPr>
        <w:spacing w:line="23" w:lineRule="atLeast"/>
        <w:jc w:val="both"/>
        <w:rPr>
          <w:rFonts w:ascii="Arial" w:eastAsia="Arial" w:hAnsi="Arial" w:cs="Arial"/>
          <w:color w:val="000000" w:themeColor="text1"/>
        </w:rPr>
      </w:pPr>
    </w:p>
    <w:p w14:paraId="7D228C41" w14:textId="7CF02541" w:rsidR="00825D4D" w:rsidRPr="0081375C" w:rsidRDefault="00DC2ECD"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ÁREA</w:t>
      </w:r>
      <w:r w:rsidR="00806784" w:rsidRPr="0081375C">
        <w:rPr>
          <w:rFonts w:ascii="Arial" w:eastAsia="Arial" w:hAnsi="Arial" w:cs="Arial"/>
          <w:b/>
          <w:bCs/>
          <w:color w:val="000000" w:themeColor="text1"/>
        </w:rPr>
        <w:t xml:space="preserve"> ELEGIBLE: </w:t>
      </w:r>
      <w:r w:rsidR="00806784" w:rsidRPr="0081375C">
        <w:rPr>
          <w:rFonts w:ascii="Arial" w:eastAsia="Arial" w:hAnsi="Arial" w:cs="Arial"/>
          <w:color w:val="000000" w:themeColor="text1"/>
        </w:rPr>
        <w:t>área que hace parte del ecosistema estratégico para la regulación y la calidad hídrica y que es potencialmente apto para entrar al esquema de Pago por Servicios</w:t>
      </w:r>
      <w:r w:rsidR="00FA5433" w:rsidRPr="0081375C">
        <w:rPr>
          <w:rFonts w:ascii="Arial" w:eastAsia="Arial" w:hAnsi="Arial" w:cs="Arial"/>
          <w:color w:val="000000" w:themeColor="text1"/>
        </w:rPr>
        <w:t xml:space="preserve"> </w:t>
      </w:r>
      <w:r w:rsidR="00806784" w:rsidRPr="0081375C">
        <w:rPr>
          <w:rFonts w:ascii="Arial" w:eastAsia="Arial" w:hAnsi="Arial" w:cs="Arial"/>
          <w:color w:val="000000" w:themeColor="text1"/>
        </w:rPr>
        <w:t>Ambientales.</w:t>
      </w:r>
    </w:p>
    <w:p w14:paraId="2CF841A2" w14:textId="77777777" w:rsidR="003F6B53" w:rsidRPr="0081375C" w:rsidRDefault="003F6B53" w:rsidP="003F6B53">
      <w:pPr>
        <w:spacing w:line="23" w:lineRule="atLeast"/>
        <w:jc w:val="both"/>
        <w:rPr>
          <w:rFonts w:ascii="Arial" w:eastAsia="Arial" w:hAnsi="Arial" w:cs="Arial"/>
          <w:color w:val="000000" w:themeColor="text1"/>
        </w:rPr>
      </w:pPr>
    </w:p>
    <w:p w14:paraId="06B9A6F5"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BENEFICIARIOS DEL INCENTIVO:</w:t>
      </w:r>
      <w:r w:rsidRPr="0081375C">
        <w:rPr>
          <w:rFonts w:ascii="Arial" w:eastAsia="Arial" w:hAnsi="Arial" w:cs="Arial"/>
          <w:color w:val="000000" w:themeColor="text1"/>
        </w:rPr>
        <w:t xml:space="preserve"> Propietarios, poseedores u ocupantes de buena fe exenta de culpa de predios ubicados en las áreas y ecosistemas estratégicos, que reciben el incentivo condicionado al cumplimiento de las acciones de preservación y restauración suscritas a través de un acuerdo voluntario. (Decreto 870/2017)</w:t>
      </w:r>
    </w:p>
    <w:p w14:paraId="1B46B51C" w14:textId="77777777" w:rsidR="00825D4D" w:rsidRPr="0081375C" w:rsidRDefault="00825D4D" w:rsidP="003F6B53">
      <w:pPr>
        <w:spacing w:line="23" w:lineRule="atLeast"/>
        <w:jc w:val="both"/>
        <w:rPr>
          <w:rFonts w:ascii="Arial" w:hAnsi="Arial" w:cs="Arial"/>
          <w:color w:val="000000" w:themeColor="text1"/>
        </w:rPr>
      </w:pPr>
    </w:p>
    <w:p w14:paraId="029EBE2E"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b/>
          <w:bCs/>
          <w:color w:val="000000" w:themeColor="text1"/>
        </w:rPr>
        <w:t>BENEFICIARIO DEL SERVICIO AMBIENTAL:</w:t>
      </w:r>
      <w:r w:rsidRPr="0081375C">
        <w:rPr>
          <w:rFonts w:ascii="Arial" w:eastAsia="Aptos" w:hAnsi="Arial" w:cs="Arial"/>
          <w:color w:val="000000" w:themeColor="text1"/>
        </w:rPr>
        <w:t xml:space="preserve"> es la persona natural o jurídica, entidad pública, privada o mixta que se beneficia directa o indirectamente por el servicio ambiental y reconoce el incentivo de forma voluntaria, o en el marco del cumplimiento de las obligaciones derivadas de autorizaciones ambientales. (MINAMBIENTE) </w:t>
      </w:r>
    </w:p>
    <w:p w14:paraId="0BD3F473" w14:textId="77777777" w:rsidR="003F6B53" w:rsidRPr="0081375C" w:rsidRDefault="003F6B53" w:rsidP="003F6B53">
      <w:pPr>
        <w:spacing w:line="23" w:lineRule="atLeast"/>
        <w:jc w:val="both"/>
        <w:rPr>
          <w:rFonts w:ascii="Arial" w:eastAsia="Aptos" w:hAnsi="Arial" w:cs="Arial"/>
          <w:color w:val="000000" w:themeColor="text1"/>
        </w:rPr>
      </w:pPr>
    </w:p>
    <w:p w14:paraId="5BA5D4E1"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 xml:space="preserve">BOSQUE NATURAL: </w:t>
      </w:r>
      <w:r w:rsidRPr="0081375C">
        <w:rPr>
          <w:rFonts w:ascii="Arial" w:eastAsia="Arial" w:hAnsi="Arial" w:cs="Arial"/>
          <w:color w:val="000000" w:themeColor="text1"/>
        </w:rPr>
        <w:t>áreas que presentan vegetación forestal autóctona, sin alteración significativa por actividades humanas. Estos bosques son importantes por su biodiversidad, reguladores climáticos y ecosistemas naturales (IDEAM, 2010).</w:t>
      </w:r>
    </w:p>
    <w:p w14:paraId="3583875B" w14:textId="77777777" w:rsidR="003F6B53" w:rsidRPr="0081375C" w:rsidRDefault="003F6B53" w:rsidP="003F6B53">
      <w:pPr>
        <w:spacing w:line="23" w:lineRule="atLeast"/>
        <w:jc w:val="both"/>
        <w:rPr>
          <w:rFonts w:ascii="Arial" w:eastAsia="Arial" w:hAnsi="Arial" w:cs="Arial"/>
          <w:color w:val="000000" w:themeColor="text1"/>
        </w:rPr>
      </w:pPr>
    </w:p>
    <w:p w14:paraId="7561C861"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lastRenderedPageBreak/>
        <w:t xml:space="preserve">BOSQUE PLANTADO: </w:t>
      </w:r>
      <w:r w:rsidRPr="0081375C">
        <w:rPr>
          <w:rFonts w:ascii="Arial" w:eastAsia="Arial" w:hAnsi="Arial" w:cs="Arial"/>
          <w:color w:val="000000" w:themeColor="text1"/>
        </w:rPr>
        <w:t>áreas donde se ha realizado reforestación o plantación de especies forestales, generalmente para fines comerciales o de restauración ecológica (IDEAM, 2010).</w:t>
      </w:r>
    </w:p>
    <w:p w14:paraId="3B1D891B" w14:textId="77777777" w:rsidR="003F6B53" w:rsidRPr="0081375C" w:rsidRDefault="003F6B53" w:rsidP="003F6B53">
      <w:pPr>
        <w:spacing w:line="23" w:lineRule="atLeast"/>
        <w:jc w:val="both"/>
        <w:rPr>
          <w:rFonts w:ascii="Arial" w:eastAsia="Arial" w:hAnsi="Arial" w:cs="Arial"/>
          <w:color w:val="000000" w:themeColor="text1"/>
        </w:rPr>
      </w:pPr>
    </w:p>
    <w:p w14:paraId="1CEE0D48" w14:textId="3A8B1059"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CICLO DE CONVOCATORIA: </w:t>
      </w:r>
      <w:r w:rsidRPr="0081375C">
        <w:rPr>
          <w:rFonts w:ascii="Arial" w:eastAsia="Calibri" w:hAnsi="Arial" w:cs="Arial"/>
          <w:color w:val="000000" w:themeColor="text1"/>
        </w:rPr>
        <w:t>es el periodo de tiempo asignado para que los interesados en participar en el esquema de pago por servicios ambientales que se encuentran dentro del ecosistema estratégico asociado al recurso biodiversidad del Distrito de Medellín postulen sus predios, para ser tenidos en cuenta en la evaluación técnica y jurídica, que permite viabilizar los predios para ser vinculados al esquema de pago por servicios ambientales en la modalidad de regulación y calidad hídrica.</w:t>
      </w:r>
    </w:p>
    <w:p w14:paraId="602C8487" w14:textId="77777777" w:rsidR="003F6B53" w:rsidRPr="0081375C" w:rsidRDefault="003F6B53" w:rsidP="003F6B53">
      <w:pPr>
        <w:spacing w:line="23" w:lineRule="atLeast"/>
        <w:jc w:val="both"/>
        <w:rPr>
          <w:rFonts w:ascii="Arial" w:eastAsia="Calibri" w:hAnsi="Arial" w:cs="Arial"/>
          <w:color w:val="000000" w:themeColor="text1"/>
        </w:rPr>
      </w:pPr>
    </w:p>
    <w:p w14:paraId="1CFE2583" w14:textId="77777777"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COBERTURAS VEGETALES: </w:t>
      </w:r>
      <w:r w:rsidRPr="0081375C">
        <w:rPr>
          <w:rFonts w:ascii="Arial" w:eastAsia="Calibri" w:hAnsi="Arial" w:cs="Arial"/>
          <w:color w:val="000000" w:themeColor="text1"/>
        </w:rPr>
        <w:t>se refieren a las áreas del suelo que están cubiertas predominantemente por vegetación. Estas áreas son esenciales para el balance ecológico, la biodiversidad y el ciclo del carbono, y se clasifican principalmente en tipos de vegetación que pueden incluir bosques, matorrales, praderas, y áreas de vegetación herbácea, entre otros (IDEAM, 2010).</w:t>
      </w:r>
    </w:p>
    <w:p w14:paraId="3FD6E6A1" w14:textId="77777777" w:rsidR="003F6B53" w:rsidRPr="0081375C" w:rsidRDefault="003F6B53" w:rsidP="003F6B53">
      <w:pPr>
        <w:spacing w:line="23" w:lineRule="atLeast"/>
        <w:jc w:val="both"/>
        <w:rPr>
          <w:rFonts w:ascii="Arial" w:eastAsia="Calibri" w:hAnsi="Arial" w:cs="Arial"/>
          <w:color w:val="000000" w:themeColor="text1"/>
        </w:rPr>
      </w:pPr>
    </w:p>
    <w:p w14:paraId="43E0797C" w14:textId="4957D0AF" w:rsidR="00825D4D" w:rsidRPr="0081375C" w:rsidRDefault="00FA5433"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COBERTURAS DE LA TIERRA: </w:t>
      </w:r>
      <w:r w:rsidRPr="0081375C">
        <w:rPr>
          <w:rFonts w:ascii="Arial" w:eastAsia="Calibri" w:hAnsi="Arial" w:cs="Arial"/>
          <w:color w:val="000000" w:themeColor="text1"/>
        </w:rPr>
        <w:t>se refiere a la descripción y clasificación de las diferentes formas de ocupación del suelo y sus características físicas y biológicas (IDEAM, 2010).</w:t>
      </w:r>
    </w:p>
    <w:p w14:paraId="57240510" w14:textId="77777777" w:rsidR="003F6B53" w:rsidRPr="0081375C" w:rsidRDefault="003F6B53" w:rsidP="003F6B53">
      <w:pPr>
        <w:spacing w:line="23" w:lineRule="atLeast"/>
        <w:jc w:val="both"/>
        <w:rPr>
          <w:rFonts w:ascii="Arial" w:eastAsia="Calibri" w:hAnsi="Arial" w:cs="Arial"/>
          <w:color w:val="000000" w:themeColor="text1"/>
        </w:rPr>
      </w:pPr>
    </w:p>
    <w:p w14:paraId="583F4FF9" w14:textId="2B792C37"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CUERPOS DE AGUA: </w:t>
      </w:r>
      <w:r w:rsidRPr="0081375C">
        <w:rPr>
          <w:rFonts w:ascii="Arial" w:eastAsia="Calibri" w:hAnsi="Arial" w:cs="Arial"/>
          <w:color w:val="000000" w:themeColor="text1"/>
        </w:rPr>
        <w:t>se refiere a cualquier superficie de agua natural o artificial que cubre una parte del territorio. Estos cuerpos de agua son importantes tanto para la biodiversidad como para los procesos ecológicos, y su clasificación permite un mejor manejo y conservación de los recursos hídricos en el país (IDEAM, 2010).</w:t>
      </w:r>
    </w:p>
    <w:p w14:paraId="755276AD" w14:textId="77777777" w:rsidR="003F6B53" w:rsidRPr="0081375C" w:rsidRDefault="003F6B53" w:rsidP="003F6B53">
      <w:pPr>
        <w:spacing w:line="23" w:lineRule="atLeast"/>
        <w:jc w:val="both"/>
        <w:rPr>
          <w:rFonts w:ascii="Arial" w:eastAsia="Calibri" w:hAnsi="Arial" w:cs="Arial"/>
          <w:color w:val="000000" w:themeColor="text1"/>
        </w:rPr>
      </w:pPr>
    </w:p>
    <w:p w14:paraId="68B4C5D6" w14:textId="32948D3F"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CULTIVOS: </w:t>
      </w:r>
      <w:r w:rsidRPr="0081375C">
        <w:rPr>
          <w:rFonts w:ascii="Arial" w:eastAsia="Calibri" w:hAnsi="Arial" w:cs="Arial"/>
          <w:color w:val="000000" w:themeColor="text1"/>
        </w:rPr>
        <w:t>plantas cultivadas por el ser humano para obtener alimentos, fibras, medicinas u otros productos útiles, generalmente en sistemas agrícolas o de horticultura.</w:t>
      </w:r>
    </w:p>
    <w:p w14:paraId="46BC54CD" w14:textId="77777777" w:rsidR="003F6B53" w:rsidRPr="0081375C" w:rsidRDefault="003F6B53" w:rsidP="003F6B53">
      <w:pPr>
        <w:spacing w:line="23" w:lineRule="atLeast"/>
        <w:jc w:val="both"/>
        <w:rPr>
          <w:rFonts w:ascii="Arial" w:eastAsia="Calibri" w:hAnsi="Arial" w:cs="Arial"/>
          <w:color w:val="000000" w:themeColor="text1"/>
        </w:rPr>
      </w:pPr>
    </w:p>
    <w:p w14:paraId="4FA72468" w14:textId="515EB591"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CULTIVO AGROFORESTAL: </w:t>
      </w:r>
      <w:r w:rsidRPr="0081375C">
        <w:rPr>
          <w:rFonts w:ascii="Arial" w:eastAsia="Calibri" w:hAnsi="Arial" w:cs="Arial"/>
          <w:color w:val="000000" w:themeColor="text1"/>
        </w:rPr>
        <w:t>sistema de producción que combina cultivos agrícolas con</w:t>
      </w:r>
      <w:r w:rsidR="00FA5433" w:rsidRPr="0081375C">
        <w:rPr>
          <w:rFonts w:ascii="Arial" w:eastAsia="Calibri" w:hAnsi="Arial" w:cs="Arial"/>
          <w:color w:val="000000" w:themeColor="text1"/>
        </w:rPr>
        <w:t xml:space="preserve"> </w:t>
      </w:r>
      <w:r w:rsidRPr="0081375C">
        <w:rPr>
          <w:rFonts w:ascii="Arial" w:eastAsia="Calibri" w:hAnsi="Arial" w:cs="Arial"/>
          <w:color w:val="000000" w:themeColor="text1"/>
        </w:rPr>
        <w:t>árboles o arbustos en la misma área, optimizando el uso del suelo, mejorando la biodiversidad y promoviendo beneficios ecológicos y económicos.</w:t>
      </w:r>
    </w:p>
    <w:p w14:paraId="5A2C8E8F" w14:textId="77777777" w:rsidR="00825D4D" w:rsidRPr="0081375C" w:rsidRDefault="00825D4D" w:rsidP="003F6B53">
      <w:pPr>
        <w:spacing w:line="23" w:lineRule="atLeast"/>
        <w:jc w:val="both"/>
        <w:rPr>
          <w:rFonts w:ascii="Arial" w:eastAsia="Calibri" w:hAnsi="Arial" w:cs="Arial"/>
          <w:color w:val="000000" w:themeColor="text1"/>
        </w:rPr>
      </w:pPr>
    </w:p>
    <w:p w14:paraId="32BDABC0" w14:textId="02DC3CD3"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b/>
          <w:bCs/>
          <w:color w:val="000000" w:themeColor="text1"/>
        </w:rPr>
        <w:t>ECOSISTEMA ESTRATÉGICO:</w:t>
      </w:r>
      <w:r w:rsidRPr="0081375C">
        <w:rPr>
          <w:rFonts w:ascii="Arial" w:eastAsia="Aptos" w:hAnsi="Arial" w:cs="Arial"/>
          <w:color w:val="000000" w:themeColor="text1"/>
        </w:rPr>
        <w:t xml:space="preserve"> son territorios donde los ecosistemas naturales, seminaturales y agro ecosistemas proveen servicios ambientales, como la provisión de agua para acueductos urbanos, rurales y regionales, para la generación de energía y el riego; la prevención de movimientos de remoción en masa, el control de inundaciones y la adaptación a la variabilidad climática; la conservación de la biodiversidad para la provisión de alimento y materias prima (p.ej. leña, hábitat para especies, recreación y turismo), y la fijación de carbono. La definición del área y ecosistemas estratégicos debe estar basada en el servicio ambiental que se quiere conservar y en los instrumentos de ordenamiento territorial que los hayan determinado como de interés estratégico. (MINAMBIENTE)</w:t>
      </w:r>
    </w:p>
    <w:p w14:paraId="5516FC50" w14:textId="77777777" w:rsidR="00AC7AC8" w:rsidRPr="0081375C" w:rsidRDefault="00AC7AC8" w:rsidP="003F6B53">
      <w:pPr>
        <w:spacing w:line="23" w:lineRule="atLeast"/>
        <w:jc w:val="both"/>
        <w:rPr>
          <w:rFonts w:ascii="Arial" w:eastAsia="Aptos" w:hAnsi="Arial" w:cs="Arial"/>
          <w:color w:val="000000" w:themeColor="text1"/>
        </w:rPr>
      </w:pPr>
    </w:p>
    <w:p w14:paraId="6FD9F986" w14:textId="6467A86C"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ESPECIE NATIVA: </w:t>
      </w:r>
      <w:r w:rsidRPr="0081375C">
        <w:rPr>
          <w:rFonts w:ascii="Arial" w:eastAsia="Calibri" w:hAnsi="Arial" w:cs="Arial"/>
          <w:color w:val="000000" w:themeColor="text1"/>
        </w:rPr>
        <w:t>se define como la especie o subespecie taxonómica, raza o variedad</w:t>
      </w:r>
      <w:r w:rsidR="00FA5433" w:rsidRPr="0081375C">
        <w:rPr>
          <w:rFonts w:ascii="Arial" w:eastAsia="Calibri" w:hAnsi="Arial" w:cs="Arial"/>
          <w:color w:val="000000" w:themeColor="text1"/>
        </w:rPr>
        <w:t xml:space="preserve"> </w:t>
      </w:r>
      <w:r w:rsidRPr="0081375C">
        <w:rPr>
          <w:rFonts w:ascii="Arial" w:eastAsia="Calibri" w:hAnsi="Arial" w:cs="Arial"/>
          <w:color w:val="000000" w:themeColor="text1"/>
        </w:rPr>
        <w:t>de animales, o plantas cuya área natural de dispersión geográfica se extiende al territorio</w:t>
      </w:r>
      <w:r w:rsidR="00FA5433" w:rsidRPr="0081375C">
        <w:rPr>
          <w:rFonts w:ascii="Arial" w:eastAsia="Calibri" w:hAnsi="Arial" w:cs="Arial"/>
          <w:color w:val="000000" w:themeColor="text1"/>
        </w:rPr>
        <w:t xml:space="preserve"> </w:t>
      </w:r>
      <w:r w:rsidRPr="0081375C">
        <w:rPr>
          <w:rFonts w:ascii="Arial" w:eastAsia="Calibri" w:hAnsi="Arial" w:cs="Arial"/>
          <w:color w:val="000000" w:themeColor="text1"/>
        </w:rPr>
        <w:t xml:space="preserve">nacional o aguas jurisdiccionales, o forma parte de </w:t>
      </w:r>
      <w:proofErr w:type="gramStart"/>
      <w:r w:rsidRPr="0081375C">
        <w:rPr>
          <w:rFonts w:ascii="Arial" w:eastAsia="Calibri" w:hAnsi="Arial" w:cs="Arial"/>
          <w:color w:val="000000" w:themeColor="text1"/>
        </w:rPr>
        <w:t>los mismos</w:t>
      </w:r>
      <w:proofErr w:type="gramEnd"/>
      <w:r w:rsidRPr="0081375C">
        <w:rPr>
          <w:rFonts w:ascii="Arial" w:eastAsia="Calibri" w:hAnsi="Arial" w:cs="Arial"/>
          <w:color w:val="000000" w:themeColor="text1"/>
        </w:rPr>
        <w:t xml:space="preserve"> (Res. 0225 de 2018, Ministerio de Ambiente y Desarrollo Sostenible).</w:t>
      </w:r>
    </w:p>
    <w:p w14:paraId="6F501B3B" w14:textId="77777777" w:rsidR="00AC7AC8" w:rsidRPr="0081375C" w:rsidRDefault="00AC7AC8" w:rsidP="003F6B53">
      <w:pPr>
        <w:spacing w:line="23" w:lineRule="atLeast"/>
        <w:jc w:val="both"/>
        <w:rPr>
          <w:rFonts w:ascii="Arial" w:eastAsia="Calibri" w:hAnsi="Arial" w:cs="Arial"/>
          <w:color w:val="000000" w:themeColor="text1"/>
        </w:rPr>
      </w:pPr>
    </w:p>
    <w:p w14:paraId="63C004E2" w14:textId="2FE77094"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ESPECIE </w:t>
      </w:r>
      <w:r w:rsidR="004E4D94" w:rsidRPr="0081375C">
        <w:rPr>
          <w:rFonts w:ascii="Arial" w:eastAsia="Calibri" w:hAnsi="Arial" w:cs="Arial"/>
          <w:b/>
          <w:bCs/>
          <w:color w:val="000000" w:themeColor="text1"/>
        </w:rPr>
        <w:t>EXÓTICA</w:t>
      </w:r>
      <w:r w:rsidRPr="0081375C">
        <w:rPr>
          <w:rFonts w:ascii="Arial" w:eastAsia="Calibri" w:hAnsi="Arial" w:cs="Arial"/>
          <w:b/>
          <w:bCs/>
          <w:color w:val="000000" w:themeColor="text1"/>
        </w:rPr>
        <w:t xml:space="preserve">: </w:t>
      </w:r>
      <w:r w:rsidRPr="0081375C">
        <w:rPr>
          <w:rFonts w:ascii="Arial" w:eastAsia="Calibri" w:hAnsi="Arial" w:cs="Arial"/>
          <w:color w:val="000000" w:themeColor="text1"/>
        </w:rPr>
        <w:t>la especie o subespecie taxonómica, raza o variedad cuya área natural de dispersión geográfica no se extiende al territorio nacional ni a aguas jurisdiccionales, y si se encuentra en el país es como resultado voluntario o involuntario de la actividad humana (Res. 0225 de 2018, MINAMBIENTE).</w:t>
      </w:r>
    </w:p>
    <w:p w14:paraId="5F344890" w14:textId="77777777" w:rsidR="00AC7AC8" w:rsidRPr="0081375C" w:rsidRDefault="00AC7AC8" w:rsidP="003F6B53">
      <w:pPr>
        <w:spacing w:line="23" w:lineRule="atLeast"/>
        <w:jc w:val="both"/>
        <w:rPr>
          <w:rFonts w:ascii="Arial" w:eastAsia="Calibri" w:hAnsi="Arial" w:cs="Arial"/>
          <w:color w:val="000000" w:themeColor="text1"/>
        </w:rPr>
      </w:pPr>
    </w:p>
    <w:p w14:paraId="7DDC0DC2" w14:textId="7889300D"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L</w:t>
      </w:r>
      <w:r w:rsidR="00DC2ECD" w:rsidRPr="0081375C">
        <w:rPr>
          <w:rFonts w:ascii="Arial" w:eastAsia="Calibri" w:hAnsi="Arial" w:cs="Arial"/>
          <w:b/>
          <w:bCs/>
          <w:color w:val="000000" w:themeColor="text1"/>
        </w:rPr>
        <w:t>Í</w:t>
      </w:r>
      <w:r w:rsidRPr="0081375C">
        <w:rPr>
          <w:rFonts w:ascii="Arial" w:eastAsia="Calibri" w:hAnsi="Arial" w:cs="Arial"/>
          <w:b/>
          <w:bCs/>
          <w:color w:val="000000" w:themeColor="text1"/>
        </w:rPr>
        <w:t xml:space="preserve">MITES CATASTRALES: </w:t>
      </w:r>
      <w:r w:rsidRPr="0081375C">
        <w:rPr>
          <w:rFonts w:ascii="Arial" w:eastAsia="Calibri" w:hAnsi="Arial" w:cs="Arial"/>
          <w:color w:val="000000" w:themeColor="text1"/>
        </w:rPr>
        <w:t>límites de los polígonos que componen las unidades prediales</w:t>
      </w:r>
      <w:r w:rsidR="00FA5433" w:rsidRPr="0081375C">
        <w:rPr>
          <w:rFonts w:ascii="Arial" w:eastAsia="Calibri" w:hAnsi="Arial" w:cs="Arial"/>
          <w:color w:val="000000" w:themeColor="text1"/>
        </w:rPr>
        <w:t xml:space="preserve"> </w:t>
      </w:r>
      <w:r w:rsidRPr="0081375C">
        <w:rPr>
          <w:rFonts w:ascii="Arial" w:eastAsia="Calibri" w:hAnsi="Arial" w:cs="Arial"/>
          <w:color w:val="000000" w:themeColor="text1"/>
        </w:rPr>
        <w:t>(predios).</w:t>
      </w:r>
    </w:p>
    <w:p w14:paraId="2719C571" w14:textId="77777777" w:rsidR="00AC7AC8" w:rsidRPr="0081375C" w:rsidRDefault="00AC7AC8" w:rsidP="003F6B53">
      <w:pPr>
        <w:spacing w:line="23" w:lineRule="atLeast"/>
        <w:jc w:val="both"/>
        <w:rPr>
          <w:rFonts w:ascii="Arial" w:eastAsia="Calibri" w:hAnsi="Arial" w:cs="Arial"/>
          <w:color w:val="000000" w:themeColor="text1"/>
        </w:rPr>
      </w:pPr>
    </w:p>
    <w:p w14:paraId="32A00234" w14:textId="6B845F37"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METODOLOG</w:t>
      </w:r>
      <w:r w:rsidR="004E4D94" w:rsidRPr="0081375C">
        <w:rPr>
          <w:rFonts w:ascii="Arial" w:eastAsia="Calibri" w:hAnsi="Arial" w:cs="Arial"/>
          <w:b/>
          <w:bCs/>
          <w:color w:val="000000" w:themeColor="text1"/>
        </w:rPr>
        <w:t>Í</w:t>
      </w:r>
      <w:r w:rsidRPr="0081375C">
        <w:rPr>
          <w:rFonts w:ascii="Arial" w:eastAsia="Calibri" w:hAnsi="Arial" w:cs="Arial"/>
          <w:b/>
          <w:bCs/>
          <w:color w:val="000000" w:themeColor="text1"/>
        </w:rPr>
        <w:t>A</w:t>
      </w:r>
      <w:r w:rsidR="00E31CC5" w:rsidRPr="0081375C">
        <w:rPr>
          <w:rFonts w:ascii="Arial" w:eastAsia="Calibri" w:hAnsi="Arial" w:cs="Arial"/>
          <w:b/>
          <w:bCs/>
          <w:color w:val="000000" w:themeColor="text1"/>
        </w:rPr>
        <w:t xml:space="preserve"> </w:t>
      </w:r>
      <w:r w:rsidRPr="0081375C">
        <w:rPr>
          <w:rFonts w:ascii="Arial" w:eastAsia="Calibri" w:hAnsi="Arial" w:cs="Arial"/>
          <w:b/>
          <w:bCs/>
          <w:color w:val="000000" w:themeColor="text1"/>
        </w:rPr>
        <w:t xml:space="preserve">CORINE LAND COVER: </w:t>
      </w:r>
      <w:r w:rsidRPr="0081375C">
        <w:rPr>
          <w:rFonts w:ascii="Arial" w:eastAsia="Calibri" w:hAnsi="Arial" w:cs="Arial"/>
          <w:color w:val="000000" w:themeColor="text1"/>
        </w:rPr>
        <w:t>metodología que tiene como propósito la realización del inventario homogéneo de la cubierta biofísica (cobertura) de la superficie de la tierra a partir de la interpretación visual de imágenes de satélite asistida por computador y la generación de una base de datos geográfica (IDEAM, 2010).</w:t>
      </w:r>
    </w:p>
    <w:p w14:paraId="11FEF84D" w14:textId="77777777" w:rsidR="00AC7AC8" w:rsidRPr="0081375C" w:rsidRDefault="00AC7AC8" w:rsidP="003F6B53">
      <w:pPr>
        <w:spacing w:line="23" w:lineRule="atLeast"/>
        <w:jc w:val="both"/>
        <w:rPr>
          <w:rFonts w:ascii="Arial" w:eastAsia="Calibri" w:hAnsi="Arial" w:cs="Arial"/>
          <w:color w:val="000000" w:themeColor="text1"/>
        </w:rPr>
      </w:pPr>
    </w:p>
    <w:p w14:paraId="5EC61881" w14:textId="77777777"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NACIMIENTO: </w:t>
      </w:r>
      <w:r w:rsidRPr="0081375C">
        <w:rPr>
          <w:rFonts w:ascii="Arial" w:eastAsia="Calibri" w:hAnsi="Arial" w:cs="Arial"/>
          <w:color w:val="000000" w:themeColor="text1"/>
        </w:rPr>
        <w:t>también llamados nacederos, ojos de agua o manantiales, entre otros nombres, son agua subterránea que emerge a la superficie.</w:t>
      </w:r>
    </w:p>
    <w:p w14:paraId="737F2038" w14:textId="77777777" w:rsidR="00AC7AC8" w:rsidRPr="0081375C" w:rsidRDefault="00AC7AC8" w:rsidP="003F6B53">
      <w:pPr>
        <w:spacing w:line="23" w:lineRule="atLeast"/>
        <w:jc w:val="both"/>
        <w:rPr>
          <w:rFonts w:ascii="Arial" w:eastAsia="Calibri" w:hAnsi="Arial" w:cs="Arial"/>
          <w:color w:val="000000" w:themeColor="text1"/>
        </w:rPr>
      </w:pPr>
    </w:p>
    <w:p w14:paraId="6040E59D" w14:textId="088DBDFF" w:rsidR="00825D4D" w:rsidRPr="0081375C" w:rsidRDefault="004E4D9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NUCLEACIÓN</w:t>
      </w:r>
      <w:r w:rsidR="00825D4D" w:rsidRPr="0081375C">
        <w:rPr>
          <w:rFonts w:ascii="Arial" w:eastAsia="Calibri" w:hAnsi="Arial" w:cs="Arial"/>
          <w:b/>
          <w:bCs/>
          <w:color w:val="000000" w:themeColor="text1"/>
        </w:rPr>
        <w:t xml:space="preserve">: </w:t>
      </w:r>
      <w:r w:rsidR="00825D4D" w:rsidRPr="0081375C">
        <w:rPr>
          <w:rFonts w:ascii="Arial" w:eastAsia="Calibri" w:hAnsi="Arial" w:cs="Arial"/>
          <w:color w:val="000000" w:themeColor="text1"/>
        </w:rPr>
        <w:t>se refiere a un enfoque de restauración ecológica que utiliza la plantación estratégica de especies clave en puntos específicos para facilitar la recuperación de los ecosistemas naturales. Este proceso implica la creación de "núcleos" de vegetación que, con el tiempo, permiten que otras especies se establezcan y se desarrollen alrededor de ellos, promoviendo así la regeneración natural del bosque tropical (Holl Et. al, 2020).</w:t>
      </w:r>
    </w:p>
    <w:p w14:paraId="092C353B" w14:textId="77777777" w:rsidR="00AC7AC8" w:rsidRPr="0081375C" w:rsidRDefault="00AC7AC8" w:rsidP="003F6B53">
      <w:pPr>
        <w:spacing w:line="23" w:lineRule="atLeast"/>
        <w:jc w:val="both"/>
        <w:rPr>
          <w:rFonts w:ascii="Arial" w:eastAsia="Calibri" w:hAnsi="Arial" w:cs="Arial"/>
          <w:color w:val="000000" w:themeColor="text1"/>
        </w:rPr>
      </w:pPr>
    </w:p>
    <w:p w14:paraId="36B81862" w14:textId="00C33FD2"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b/>
          <w:bCs/>
          <w:color w:val="000000" w:themeColor="text1"/>
        </w:rPr>
        <w:t>OPERADOR DEL PSA:</w:t>
      </w:r>
      <w:r w:rsidRPr="0081375C">
        <w:rPr>
          <w:rFonts w:ascii="Arial" w:eastAsia="Aptos" w:hAnsi="Arial" w:cs="Arial"/>
          <w:color w:val="000000" w:themeColor="text1"/>
        </w:rPr>
        <w:t xml:space="preserve"> es la entidad de carácter público, privado o mixto, que deberá administrar los recursos, formalizar el acuerdo condicionado a resultados, monitorear el servicio ambiental o el uso del suelo asociado, con el fin de determinar el mejoramiento o mantenimiento del servicio ambiental. También deberá apoyar la gestión de recursos, reportar ante los beneficiarios del incentivo y beneficiarios del servicio ambiental el desarrollo y resultados del proyecto. Podrá estar complementado con un operador financiero, de manera que facilite y agilice los pagos. (Ministerio de Ambiente y Desarrollo Sostenible. (s.f.). Programa Nacional de Pagos Por Servicios Ambientales. </w:t>
      </w:r>
      <w:hyperlink r:id="rId11" w:history="1">
        <w:r w:rsidR="00AC7AC8" w:rsidRPr="0081375C">
          <w:rPr>
            <w:rStyle w:val="Hipervnculo"/>
            <w:rFonts w:ascii="Arial" w:eastAsia="Aptos" w:hAnsi="Arial" w:cs="Arial"/>
          </w:rPr>
          <w:t>https://www.minambiente.gov.co/negocios-verdes/programa-nacional-de-pagos-por-servicios-ambientales/</w:t>
        </w:r>
      </w:hyperlink>
      <w:r w:rsidRPr="0081375C">
        <w:rPr>
          <w:rFonts w:ascii="Arial" w:eastAsia="Aptos" w:hAnsi="Arial" w:cs="Arial"/>
          <w:color w:val="000000" w:themeColor="text1"/>
        </w:rPr>
        <w:t>)</w:t>
      </w:r>
      <w:r w:rsidR="00AC7AC8" w:rsidRPr="0081375C">
        <w:rPr>
          <w:rFonts w:ascii="Arial" w:eastAsia="Aptos" w:hAnsi="Arial" w:cs="Arial"/>
          <w:color w:val="000000" w:themeColor="text1"/>
        </w:rPr>
        <w:t>.</w:t>
      </w:r>
    </w:p>
    <w:p w14:paraId="10CD1B90" w14:textId="77777777" w:rsidR="00AC7AC8" w:rsidRPr="0081375C" w:rsidRDefault="00AC7AC8" w:rsidP="003F6B53">
      <w:pPr>
        <w:spacing w:line="23" w:lineRule="atLeast"/>
        <w:jc w:val="both"/>
        <w:rPr>
          <w:rFonts w:ascii="Arial" w:eastAsia="Aptos" w:hAnsi="Arial" w:cs="Arial"/>
          <w:color w:val="000000" w:themeColor="text1"/>
        </w:rPr>
      </w:pPr>
    </w:p>
    <w:p w14:paraId="4EDD6A15" w14:textId="5F6827DD"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ORTOFOTOGRAF</w:t>
      </w:r>
      <w:r w:rsidR="005841CB" w:rsidRPr="0081375C">
        <w:rPr>
          <w:rFonts w:ascii="Arial" w:eastAsia="Calibri" w:hAnsi="Arial" w:cs="Arial"/>
          <w:b/>
          <w:bCs/>
          <w:color w:val="000000" w:themeColor="text1"/>
        </w:rPr>
        <w:t>Í</w:t>
      </w:r>
      <w:r w:rsidRPr="0081375C">
        <w:rPr>
          <w:rFonts w:ascii="Arial" w:eastAsia="Calibri" w:hAnsi="Arial" w:cs="Arial"/>
          <w:b/>
          <w:bCs/>
          <w:color w:val="000000" w:themeColor="text1"/>
        </w:rPr>
        <w:t xml:space="preserve">AS: </w:t>
      </w:r>
      <w:r w:rsidRPr="0081375C">
        <w:rPr>
          <w:rFonts w:ascii="Arial" w:eastAsia="Calibri" w:hAnsi="Arial" w:cs="Arial"/>
          <w:color w:val="000000" w:themeColor="text1"/>
        </w:rPr>
        <w:t xml:space="preserve">imágenes </w:t>
      </w:r>
      <w:proofErr w:type="spellStart"/>
      <w:r w:rsidRPr="0081375C">
        <w:rPr>
          <w:rFonts w:ascii="Arial" w:eastAsia="Calibri" w:hAnsi="Arial" w:cs="Arial"/>
          <w:color w:val="000000" w:themeColor="text1"/>
        </w:rPr>
        <w:t>ortorectificadas</w:t>
      </w:r>
      <w:proofErr w:type="spellEnd"/>
      <w:r w:rsidRPr="0081375C">
        <w:rPr>
          <w:rFonts w:ascii="Arial" w:eastAsia="Calibri" w:hAnsi="Arial" w:cs="Arial"/>
          <w:color w:val="000000" w:themeColor="text1"/>
        </w:rPr>
        <w:t xml:space="preserve"> (que se visualizan de manera ortogonal) satelitales (tomadas por </w:t>
      </w:r>
      <w:r w:rsidR="00A6646E" w:rsidRPr="0081375C">
        <w:rPr>
          <w:rFonts w:ascii="Arial" w:eastAsia="Calibri" w:hAnsi="Arial" w:cs="Arial"/>
          <w:color w:val="000000" w:themeColor="text1"/>
        </w:rPr>
        <w:t>satélite</w:t>
      </w:r>
      <w:r w:rsidRPr="0081375C">
        <w:rPr>
          <w:rFonts w:ascii="Arial" w:eastAsia="Calibri" w:hAnsi="Arial" w:cs="Arial"/>
          <w:color w:val="000000" w:themeColor="text1"/>
        </w:rPr>
        <w:t>) o aéreas (tomadas por avión) donde se identifican los elementos existentes en la realidad visible del área de estudio.</w:t>
      </w:r>
    </w:p>
    <w:p w14:paraId="79547C02" w14:textId="77777777" w:rsidR="00AC7AC8" w:rsidRPr="0081375C" w:rsidRDefault="00AC7AC8" w:rsidP="003F6B53">
      <w:pPr>
        <w:spacing w:line="23" w:lineRule="atLeast"/>
        <w:jc w:val="both"/>
        <w:rPr>
          <w:rFonts w:ascii="Arial" w:eastAsia="Calibri" w:hAnsi="Arial" w:cs="Arial"/>
          <w:color w:val="000000" w:themeColor="text1"/>
        </w:rPr>
      </w:pPr>
    </w:p>
    <w:p w14:paraId="1F3B7B1A" w14:textId="39D0BC3A"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b/>
          <w:bCs/>
          <w:color w:val="000000" w:themeColor="text1"/>
        </w:rPr>
        <w:lastRenderedPageBreak/>
        <w:t>PAGO POR SERVICIOS AMBIENTALES (PSA):</w:t>
      </w:r>
      <w:r w:rsidRPr="0081375C">
        <w:rPr>
          <w:rFonts w:ascii="Arial" w:eastAsia="Aptos" w:hAnsi="Arial" w:cs="Arial"/>
          <w:color w:val="000000" w:themeColor="text1"/>
        </w:rPr>
        <w:t xml:space="preserve"> es el incentivo económico, en dinero o especie, que reconoce las acciones y las prácticas asociadas a la preservación y restauración de ecosistemas, que permiten minimizar conflictos en el uso del suelo y así favorecer el mantenimiento y la generación de servicios ambientales. (Ministerio de Ambiente y Desarrollo Sostenible. (s.f.). Programa Nacional de Pagos Por Servicios Ambientales. </w:t>
      </w:r>
      <w:hyperlink r:id="rId12" w:history="1">
        <w:r w:rsidR="00AC7AC8" w:rsidRPr="0081375C">
          <w:rPr>
            <w:rStyle w:val="Hipervnculo"/>
            <w:rFonts w:ascii="Arial" w:eastAsia="Aptos" w:hAnsi="Arial" w:cs="Arial"/>
          </w:rPr>
          <w:t>https://www.minambiente.gov.co/negocios-verdes/programa-nacional-de-pagos-por-servicios-ambientales/</w:t>
        </w:r>
      </w:hyperlink>
      <w:r w:rsidRPr="0081375C">
        <w:rPr>
          <w:rFonts w:ascii="Arial" w:eastAsia="Aptos" w:hAnsi="Arial" w:cs="Arial"/>
          <w:color w:val="000000" w:themeColor="text1"/>
        </w:rPr>
        <w:t>)</w:t>
      </w:r>
      <w:r w:rsidR="00AC7AC8" w:rsidRPr="0081375C">
        <w:rPr>
          <w:rFonts w:ascii="Arial" w:eastAsia="Aptos" w:hAnsi="Arial" w:cs="Arial"/>
          <w:color w:val="000000" w:themeColor="text1"/>
        </w:rPr>
        <w:t>.</w:t>
      </w:r>
    </w:p>
    <w:p w14:paraId="587B2CDE" w14:textId="77777777" w:rsidR="00B64B4B" w:rsidRPr="0081375C" w:rsidRDefault="00B64B4B" w:rsidP="003F6B53">
      <w:pPr>
        <w:spacing w:line="23" w:lineRule="atLeast"/>
        <w:jc w:val="both"/>
        <w:rPr>
          <w:rFonts w:ascii="Arial" w:eastAsia="Aptos" w:hAnsi="Arial" w:cs="Arial"/>
          <w:color w:val="000000" w:themeColor="text1"/>
        </w:rPr>
      </w:pPr>
    </w:p>
    <w:p w14:paraId="6E00184F" w14:textId="50176C5C" w:rsidR="00915AE6" w:rsidRPr="0081375C" w:rsidRDefault="65049D20" w:rsidP="00915AE6">
      <w:pPr>
        <w:spacing w:line="23" w:lineRule="atLeast"/>
        <w:jc w:val="both"/>
        <w:rPr>
          <w:rFonts w:ascii="Arial" w:eastAsia="Aptos" w:hAnsi="Arial" w:cs="Arial"/>
          <w:color w:val="000000" w:themeColor="text1"/>
        </w:rPr>
      </w:pPr>
      <w:r w:rsidRPr="0081375C">
        <w:rPr>
          <w:rFonts w:ascii="Arial" w:eastAsia="Aptos" w:hAnsi="Arial" w:cs="Arial"/>
          <w:b/>
          <w:bCs/>
          <w:color w:val="000000" w:themeColor="text1"/>
        </w:rPr>
        <w:t xml:space="preserve">Pago por Servicios Ambientales Hídricos (PSAH): </w:t>
      </w:r>
      <w:r w:rsidRPr="0081375C">
        <w:rPr>
          <w:rFonts w:ascii="Arial" w:eastAsia="Aptos" w:hAnsi="Arial" w:cs="Arial"/>
          <w:color w:val="000000" w:themeColor="text1"/>
        </w:rPr>
        <w:t>Modalidad de Pago por Servicios Ambientales orientada a reconocer e incentivar acciones de preservación y restauración en áreas y ecosistemas estratégicos que contribuyen a la regulación, calidad y disponibilidad del recurso hídrico. Su implementación busca conservar las fuentes abastecedoras de agua, las zonas de recarga de acuíferos y demás ecosistemas asociados, mediante acuerdos voluntarios con propietarios, poseedores u ocupantes de buena fe exenta de culpa, generando beneficios ambientales verificables para la seguridad hídrica y el bienestar de la población. (Decreto Ley 870 de 2017; Decreto 1007 de 2018; Decreto Distrital 774 de 2024).</w:t>
      </w:r>
    </w:p>
    <w:p w14:paraId="12CA521A" w14:textId="77777777" w:rsidR="00B64B4B" w:rsidRPr="0081375C" w:rsidRDefault="00B64B4B" w:rsidP="003F6B53">
      <w:pPr>
        <w:spacing w:line="23" w:lineRule="atLeast"/>
        <w:jc w:val="both"/>
        <w:rPr>
          <w:rFonts w:ascii="Arial" w:eastAsia="Aptos" w:hAnsi="Arial" w:cs="Arial"/>
          <w:b/>
          <w:bCs/>
          <w:color w:val="000000" w:themeColor="text1"/>
        </w:rPr>
      </w:pPr>
    </w:p>
    <w:p w14:paraId="2BA6801F" w14:textId="115438B7" w:rsidR="00B64B4B" w:rsidRPr="0081375C" w:rsidRDefault="007E086F" w:rsidP="003F6B53">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Pago por Servicios Ambientales para la Conservación de la Biodiversidad (</w:t>
      </w:r>
      <w:proofErr w:type="spellStart"/>
      <w:r w:rsidR="00B64B4B" w:rsidRPr="0081375C">
        <w:rPr>
          <w:rFonts w:ascii="Arial" w:eastAsia="Aptos" w:hAnsi="Arial" w:cs="Arial"/>
          <w:b/>
          <w:bCs/>
          <w:color w:val="000000" w:themeColor="text1"/>
        </w:rPr>
        <w:t>PSABio</w:t>
      </w:r>
      <w:proofErr w:type="spellEnd"/>
      <w:r w:rsidRPr="0081375C">
        <w:rPr>
          <w:rFonts w:ascii="Arial" w:eastAsia="Aptos" w:hAnsi="Arial" w:cs="Arial"/>
          <w:b/>
          <w:bCs/>
          <w:color w:val="000000" w:themeColor="text1"/>
        </w:rPr>
        <w:t>)</w:t>
      </w:r>
      <w:r w:rsidR="00B64B4B" w:rsidRPr="0081375C">
        <w:rPr>
          <w:rFonts w:ascii="Arial" w:eastAsia="Aptos" w:hAnsi="Arial" w:cs="Arial"/>
          <w:b/>
          <w:bCs/>
          <w:color w:val="000000" w:themeColor="text1"/>
        </w:rPr>
        <w:t xml:space="preserve">: </w:t>
      </w:r>
      <w:r w:rsidR="003138B7" w:rsidRPr="0081375C">
        <w:rPr>
          <w:rFonts w:ascii="Arial" w:eastAsia="Aptos" w:hAnsi="Arial" w:cs="Arial"/>
          <w:color w:val="000000" w:themeColor="text1"/>
        </w:rPr>
        <w:t>Modalidad de Pago por Servicios Ambientales orientada a reconocer e incentivar acciones voluntarias de preservación y restauración en áreas y ecosistemas estratégicos que contribuyen al mantenimiento, recuperación y fortalecimiento de la biodiversidad, la conectividad ecológica, los hábitats naturales y los servicios ecosistémicos asociados. Su implementación se realiza mediante acuerdos voluntarios con propietarios, poseedores u ocupantes de buena fe exenta de culpa, con el propósito de favorecer la conservación de especies, ecosistemas y procesos ecológicos de importancia estratégica para el territorio. (Decreto Ley 870 de 2017; Decreto 1007 de 2018; Decreto Distrital 774 de 2024).</w:t>
      </w:r>
    </w:p>
    <w:p w14:paraId="10DAC0DE" w14:textId="77777777" w:rsidR="00AC7AC8" w:rsidRPr="0081375C" w:rsidRDefault="00AC7AC8" w:rsidP="003F6B53">
      <w:pPr>
        <w:spacing w:line="23" w:lineRule="atLeast"/>
        <w:jc w:val="both"/>
        <w:rPr>
          <w:rFonts w:ascii="Arial" w:eastAsia="Aptos" w:hAnsi="Arial" w:cs="Arial"/>
          <w:color w:val="000000" w:themeColor="text1"/>
        </w:rPr>
      </w:pPr>
    </w:p>
    <w:p w14:paraId="1D49A363" w14:textId="6777C4B6" w:rsidR="00825D4D" w:rsidRPr="0081375C" w:rsidRDefault="00A6646E" w:rsidP="003F6B53">
      <w:pPr>
        <w:spacing w:line="23" w:lineRule="atLeast"/>
        <w:jc w:val="both"/>
        <w:rPr>
          <w:rFonts w:ascii="Arial" w:eastAsia="Aptos" w:hAnsi="Arial" w:cs="Arial"/>
          <w:color w:val="000000" w:themeColor="text1"/>
        </w:rPr>
      </w:pPr>
      <w:r w:rsidRPr="0081375C">
        <w:rPr>
          <w:rFonts w:ascii="Arial" w:eastAsia="Calibri" w:hAnsi="Arial" w:cs="Arial"/>
          <w:b/>
          <w:bCs/>
          <w:color w:val="000000" w:themeColor="text1"/>
        </w:rPr>
        <w:t>RESTAURACIÓN</w:t>
      </w:r>
      <w:r w:rsidR="00806784" w:rsidRPr="0081375C">
        <w:rPr>
          <w:rFonts w:ascii="Arial" w:eastAsia="Calibri" w:hAnsi="Arial" w:cs="Arial"/>
          <w:b/>
          <w:bCs/>
          <w:color w:val="000000" w:themeColor="text1"/>
        </w:rPr>
        <w:t xml:space="preserve"> </w:t>
      </w:r>
      <w:r w:rsidR="0052717E" w:rsidRPr="0081375C">
        <w:rPr>
          <w:rFonts w:ascii="Arial" w:eastAsia="Calibri" w:hAnsi="Arial" w:cs="Arial"/>
          <w:b/>
          <w:bCs/>
          <w:color w:val="000000" w:themeColor="text1"/>
        </w:rPr>
        <w:t>ECOLÓGICA</w:t>
      </w:r>
      <w:r w:rsidR="00806784" w:rsidRPr="0081375C">
        <w:rPr>
          <w:rFonts w:ascii="Arial" w:eastAsia="Calibri" w:hAnsi="Arial" w:cs="Arial"/>
          <w:b/>
          <w:bCs/>
          <w:color w:val="000000" w:themeColor="text1"/>
        </w:rPr>
        <w:t xml:space="preserve">: </w:t>
      </w:r>
      <w:r w:rsidR="00806784" w:rsidRPr="0081375C">
        <w:rPr>
          <w:rFonts w:ascii="Arial" w:eastAsia="Calibri" w:hAnsi="Arial" w:cs="Arial"/>
          <w:color w:val="000000" w:themeColor="text1"/>
        </w:rPr>
        <w:t xml:space="preserve">restablecer el ecosistema degradado a una condición similar al ecosistema </w:t>
      </w:r>
      <w:proofErr w:type="spellStart"/>
      <w:r w:rsidR="00806784" w:rsidRPr="0081375C">
        <w:rPr>
          <w:rFonts w:ascii="Arial" w:eastAsia="Calibri" w:hAnsi="Arial" w:cs="Arial"/>
          <w:color w:val="000000" w:themeColor="text1"/>
        </w:rPr>
        <w:t>predisturbio</w:t>
      </w:r>
      <w:proofErr w:type="spellEnd"/>
      <w:r w:rsidR="00806784" w:rsidRPr="0081375C">
        <w:rPr>
          <w:rFonts w:ascii="Arial" w:eastAsia="Calibri" w:hAnsi="Arial" w:cs="Arial"/>
          <w:color w:val="000000" w:themeColor="text1"/>
        </w:rPr>
        <w:t xml:space="preserve"> respecto a su composición, estructura y funcionamiento. Además, el ecosistema resultante debe ser un sistema autosostenible y debe garantizar la conservación de especies, del ecosistema en general, así como de la mayoría de sus bienes y servicios </w:t>
      </w:r>
      <w:r w:rsidR="00806784" w:rsidRPr="0081375C">
        <w:rPr>
          <w:rFonts w:ascii="Arial" w:eastAsia="Aptos" w:hAnsi="Arial" w:cs="Arial"/>
          <w:color w:val="000000" w:themeColor="text1"/>
        </w:rPr>
        <w:t xml:space="preserve">(Ministerio de Ambiente y Desarrollo Sostenible. (s.f.). Programa Nacional de Pagos Por Servicios Ambientales. </w:t>
      </w:r>
      <w:hyperlink r:id="rId13" w:history="1">
        <w:r w:rsidR="00AC7AC8" w:rsidRPr="0081375C">
          <w:rPr>
            <w:rStyle w:val="Hipervnculo"/>
            <w:rFonts w:ascii="Arial" w:eastAsia="Aptos" w:hAnsi="Arial" w:cs="Arial"/>
          </w:rPr>
          <w:t>https://www.minambiente.gov.co/negocios-verdes/programa-nacional-de-pagos-por-servicios-ambientales/</w:t>
        </w:r>
      </w:hyperlink>
      <w:r w:rsidR="00806784" w:rsidRPr="0081375C">
        <w:rPr>
          <w:rFonts w:ascii="Arial" w:eastAsia="Aptos" w:hAnsi="Arial" w:cs="Arial"/>
          <w:color w:val="000000" w:themeColor="text1"/>
        </w:rPr>
        <w:t>)</w:t>
      </w:r>
      <w:r w:rsidR="00AC7AC8" w:rsidRPr="0081375C">
        <w:rPr>
          <w:rFonts w:ascii="Arial" w:eastAsia="Aptos" w:hAnsi="Arial" w:cs="Arial"/>
          <w:color w:val="000000" w:themeColor="text1"/>
        </w:rPr>
        <w:t>.</w:t>
      </w:r>
    </w:p>
    <w:p w14:paraId="75B0B090" w14:textId="77777777" w:rsidR="00AC7AC8" w:rsidRPr="0081375C" w:rsidRDefault="00AC7AC8" w:rsidP="003F6B53">
      <w:pPr>
        <w:spacing w:line="23" w:lineRule="atLeast"/>
        <w:jc w:val="both"/>
        <w:rPr>
          <w:rFonts w:ascii="Arial" w:eastAsia="Aptos" w:hAnsi="Arial" w:cs="Arial"/>
          <w:color w:val="000000" w:themeColor="text1"/>
        </w:rPr>
      </w:pPr>
    </w:p>
    <w:p w14:paraId="17485FD7" w14:textId="143F2080" w:rsidR="00825D4D" w:rsidRPr="0081375C" w:rsidRDefault="00A6646E" w:rsidP="003F6B53">
      <w:pPr>
        <w:spacing w:line="23" w:lineRule="atLeast"/>
        <w:jc w:val="both"/>
        <w:rPr>
          <w:rFonts w:ascii="Arial" w:eastAsia="Aptos" w:hAnsi="Arial" w:cs="Arial"/>
          <w:color w:val="000000" w:themeColor="text1"/>
        </w:rPr>
      </w:pPr>
      <w:r w:rsidRPr="0081375C">
        <w:rPr>
          <w:rFonts w:ascii="Arial" w:eastAsia="Calibri" w:hAnsi="Arial" w:cs="Arial"/>
          <w:b/>
          <w:bCs/>
          <w:color w:val="000000" w:themeColor="text1"/>
        </w:rPr>
        <w:t>RESTAURACIÓN</w:t>
      </w:r>
      <w:r w:rsidR="0052717E" w:rsidRPr="0081375C">
        <w:rPr>
          <w:rFonts w:ascii="Arial" w:eastAsia="Calibri" w:hAnsi="Arial" w:cs="Arial"/>
          <w:b/>
          <w:bCs/>
          <w:color w:val="000000" w:themeColor="text1"/>
        </w:rPr>
        <w:t xml:space="preserve"> </w:t>
      </w:r>
      <w:r w:rsidRPr="0081375C">
        <w:rPr>
          <w:rFonts w:ascii="Arial" w:eastAsia="Calibri" w:hAnsi="Arial" w:cs="Arial"/>
          <w:b/>
          <w:bCs/>
          <w:color w:val="000000" w:themeColor="text1"/>
        </w:rPr>
        <w:t>ECOLÓGICA</w:t>
      </w:r>
      <w:r w:rsidR="00825D4D" w:rsidRPr="0081375C">
        <w:rPr>
          <w:rFonts w:ascii="Arial" w:eastAsia="Calibri" w:hAnsi="Arial" w:cs="Arial"/>
          <w:b/>
          <w:bCs/>
          <w:color w:val="000000" w:themeColor="text1"/>
        </w:rPr>
        <w:t xml:space="preserve"> ASISTIDA (ACTIVA): </w:t>
      </w:r>
      <w:r w:rsidR="00825D4D" w:rsidRPr="0081375C">
        <w:rPr>
          <w:rFonts w:ascii="Arial" w:eastAsia="Calibri" w:hAnsi="Arial" w:cs="Arial"/>
          <w:color w:val="000000" w:themeColor="text1"/>
        </w:rPr>
        <w:t xml:space="preserve">las actividades de restauración son asistidas (activas) cuando existen intervenciones directas de manejo como enriquecimiento, remoción o traslado del material vegetal, entre otros </w:t>
      </w:r>
      <w:r w:rsidR="00825D4D" w:rsidRPr="0081375C">
        <w:rPr>
          <w:rFonts w:ascii="Arial" w:eastAsia="Aptos" w:hAnsi="Arial" w:cs="Arial"/>
          <w:color w:val="000000" w:themeColor="text1"/>
        </w:rPr>
        <w:t xml:space="preserve">(Ministerio de Ambiente y Desarrollo Sostenible. (s.f.). Programa Nacional de Pagos Por Servicios </w:t>
      </w:r>
      <w:r w:rsidR="00825D4D" w:rsidRPr="0081375C">
        <w:rPr>
          <w:rFonts w:ascii="Arial" w:eastAsia="Aptos" w:hAnsi="Arial" w:cs="Arial"/>
          <w:color w:val="000000" w:themeColor="text1"/>
        </w:rPr>
        <w:lastRenderedPageBreak/>
        <w:t xml:space="preserve">Ambientales. </w:t>
      </w:r>
      <w:hyperlink r:id="rId14" w:history="1">
        <w:r w:rsidR="00AC7AC8" w:rsidRPr="0081375C">
          <w:rPr>
            <w:rStyle w:val="Hipervnculo"/>
            <w:rFonts w:ascii="Arial" w:eastAsia="Aptos" w:hAnsi="Arial" w:cs="Arial"/>
          </w:rPr>
          <w:t>https://www.minambiente.gov.co/negocios-verdes/programa-nacional-de-pagos-por-servicios-ambientales/</w:t>
        </w:r>
      </w:hyperlink>
      <w:r w:rsidR="00825D4D" w:rsidRPr="0081375C">
        <w:rPr>
          <w:rFonts w:ascii="Arial" w:eastAsia="Aptos" w:hAnsi="Arial" w:cs="Arial"/>
          <w:color w:val="000000" w:themeColor="text1"/>
        </w:rPr>
        <w:t>)</w:t>
      </w:r>
      <w:r w:rsidR="00AC7AC8" w:rsidRPr="0081375C">
        <w:rPr>
          <w:rFonts w:ascii="Arial" w:eastAsia="Aptos" w:hAnsi="Arial" w:cs="Arial"/>
          <w:color w:val="000000" w:themeColor="text1"/>
        </w:rPr>
        <w:t>.</w:t>
      </w:r>
    </w:p>
    <w:p w14:paraId="623CE4DE" w14:textId="77777777" w:rsidR="00AC7AC8" w:rsidRPr="0081375C" w:rsidRDefault="00AC7AC8" w:rsidP="003F6B53">
      <w:pPr>
        <w:spacing w:line="23" w:lineRule="atLeast"/>
        <w:jc w:val="both"/>
        <w:rPr>
          <w:rFonts w:ascii="Arial" w:eastAsia="Aptos" w:hAnsi="Arial" w:cs="Arial"/>
          <w:color w:val="000000" w:themeColor="text1"/>
        </w:rPr>
      </w:pPr>
    </w:p>
    <w:p w14:paraId="3B942414" w14:textId="6023BD27" w:rsidR="00825D4D" w:rsidRPr="0081375C" w:rsidRDefault="00A6646E" w:rsidP="003F6B53">
      <w:pPr>
        <w:spacing w:line="23" w:lineRule="atLeast"/>
        <w:jc w:val="both"/>
        <w:rPr>
          <w:rFonts w:ascii="Arial" w:eastAsia="Aptos" w:hAnsi="Arial" w:cs="Arial"/>
          <w:color w:val="000000" w:themeColor="text1"/>
        </w:rPr>
      </w:pPr>
      <w:r w:rsidRPr="0081375C">
        <w:rPr>
          <w:rFonts w:ascii="Arial" w:eastAsia="Calibri" w:hAnsi="Arial" w:cs="Arial"/>
          <w:b/>
          <w:bCs/>
          <w:color w:val="000000" w:themeColor="text1"/>
        </w:rPr>
        <w:t>RESTAURACIÓN</w:t>
      </w:r>
      <w:r w:rsidR="00806784" w:rsidRPr="0081375C">
        <w:rPr>
          <w:rFonts w:ascii="Arial" w:eastAsia="Calibri" w:hAnsi="Arial" w:cs="Arial"/>
          <w:b/>
          <w:bCs/>
          <w:color w:val="000000" w:themeColor="text1"/>
        </w:rPr>
        <w:t xml:space="preserve"> </w:t>
      </w:r>
      <w:r w:rsidRPr="0081375C">
        <w:rPr>
          <w:rFonts w:ascii="Arial" w:eastAsia="Calibri" w:hAnsi="Arial" w:cs="Arial"/>
          <w:b/>
          <w:bCs/>
          <w:color w:val="000000" w:themeColor="text1"/>
        </w:rPr>
        <w:t>ECOLÓGICA</w:t>
      </w:r>
      <w:r w:rsidR="00806784" w:rsidRPr="0081375C">
        <w:rPr>
          <w:rFonts w:ascii="Arial" w:eastAsia="Calibri" w:hAnsi="Arial" w:cs="Arial"/>
          <w:b/>
          <w:bCs/>
          <w:color w:val="000000" w:themeColor="text1"/>
        </w:rPr>
        <w:t xml:space="preserve"> </w:t>
      </w:r>
      <w:r w:rsidR="0052717E" w:rsidRPr="0081375C">
        <w:rPr>
          <w:rFonts w:ascii="Arial" w:eastAsia="Calibri" w:hAnsi="Arial" w:cs="Arial"/>
          <w:b/>
          <w:bCs/>
          <w:color w:val="000000" w:themeColor="text1"/>
        </w:rPr>
        <w:t>ESPONTÁNEA</w:t>
      </w:r>
      <w:r w:rsidR="00806784" w:rsidRPr="0081375C">
        <w:rPr>
          <w:rFonts w:ascii="Arial" w:eastAsia="Calibri" w:hAnsi="Arial" w:cs="Arial"/>
          <w:b/>
          <w:bCs/>
          <w:color w:val="000000" w:themeColor="text1"/>
        </w:rPr>
        <w:t xml:space="preserve"> (PASIVA): </w:t>
      </w:r>
      <w:r w:rsidR="00806784" w:rsidRPr="0081375C">
        <w:rPr>
          <w:rFonts w:ascii="Arial" w:eastAsia="Calibri" w:hAnsi="Arial" w:cs="Arial"/>
          <w:color w:val="000000" w:themeColor="text1"/>
        </w:rPr>
        <w:t xml:space="preserve">es aquella en la que los agentes causantes de la degradación se remueven y se deja el área sin otro tipo de actividad directa, sólo en ocasiones el encerramiento de las áreas es suficiente </w:t>
      </w:r>
      <w:r w:rsidR="00806784" w:rsidRPr="0081375C">
        <w:rPr>
          <w:rFonts w:ascii="Arial" w:eastAsia="Aptos" w:hAnsi="Arial" w:cs="Arial"/>
          <w:color w:val="000000" w:themeColor="text1"/>
        </w:rPr>
        <w:t xml:space="preserve">(Ministerio de Ambiente y Desarrollo Sostenible. (s.f.). Programa Nacional de Pagos Por Servicios Ambientales. </w:t>
      </w:r>
      <w:hyperlink r:id="rId15" w:history="1">
        <w:r w:rsidR="00AC7AC8" w:rsidRPr="0081375C">
          <w:rPr>
            <w:rStyle w:val="Hipervnculo"/>
            <w:rFonts w:ascii="Arial" w:eastAsia="Aptos" w:hAnsi="Arial" w:cs="Arial"/>
          </w:rPr>
          <w:t>https://www.minambiente.gov.co/negocios-verdes/programa-nacional-de-pagos-por-servicios-ambientales/</w:t>
        </w:r>
      </w:hyperlink>
      <w:r w:rsidR="00806784" w:rsidRPr="0081375C">
        <w:rPr>
          <w:rFonts w:ascii="Arial" w:eastAsia="Aptos" w:hAnsi="Arial" w:cs="Arial"/>
          <w:color w:val="000000" w:themeColor="text1"/>
        </w:rPr>
        <w:t>)</w:t>
      </w:r>
      <w:r w:rsidR="00AC7AC8" w:rsidRPr="0081375C">
        <w:rPr>
          <w:rFonts w:ascii="Arial" w:eastAsia="Aptos" w:hAnsi="Arial" w:cs="Arial"/>
          <w:color w:val="000000" w:themeColor="text1"/>
        </w:rPr>
        <w:t>.</w:t>
      </w:r>
    </w:p>
    <w:p w14:paraId="504B6C14" w14:textId="77777777" w:rsidR="00AC7AC8" w:rsidRPr="0081375C" w:rsidRDefault="00AC7AC8" w:rsidP="003F6B53">
      <w:pPr>
        <w:spacing w:line="23" w:lineRule="atLeast"/>
        <w:jc w:val="both"/>
        <w:rPr>
          <w:rFonts w:ascii="Arial" w:eastAsia="Aptos" w:hAnsi="Arial" w:cs="Arial"/>
          <w:color w:val="000000" w:themeColor="text1"/>
        </w:rPr>
      </w:pPr>
    </w:p>
    <w:p w14:paraId="4B23BF88" w14:textId="35762917"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SEMOVIENTES: </w:t>
      </w:r>
      <w:r w:rsidRPr="0081375C">
        <w:rPr>
          <w:rFonts w:ascii="Arial" w:eastAsia="Calibri" w:hAnsi="Arial" w:cs="Arial"/>
          <w:color w:val="000000" w:themeColor="text1"/>
        </w:rPr>
        <w:t>animales domésticos o de trabajo que tienen movimiento propio y son considerados bienes en actividades agropecuarias, como el ganado bovino, equino o porcino.</w:t>
      </w:r>
    </w:p>
    <w:p w14:paraId="70ACF39A" w14:textId="77777777" w:rsidR="00AC7AC8" w:rsidRPr="0081375C" w:rsidRDefault="00AC7AC8" w:rsidP="003F6B53">
      <w:pPr>
        <w:spacing w:line="23" w:lineRule="atLeast"/>
        <w:jc w:val="both"/>
        <w:rPr>
          <w:rFonts w:ascii="Arial" w:eastAsia="Calibri" w:hAnsi="Arial" w:cs="Arial"/>
          <w:color w:val="000000" w:themeColor="text1"/>
        </w:rPr>
      </w:pPr>
    </w:p>
    <w:p w14:paraId="4BEA06EF" w14:textId="3582D160"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SILVOPASTOREO: </w:t>
      </w:r>
      <w:r w:rsidRPr="0081375C">
        <w:rPr>
          <w:rFonts w:ascii="Arial" w:eastAsia="Calibri" w:hAnsi="Arial" w:cs="Arial"/>
          <w:color w:val="000000" w:themeColor="text1"/>
        </w:rPr>
        <w:t>sistema de producción agroforestal que combina árboles, arbustos y pastos con la cría de ganado, promoviendo la sostenibilidad, el bienestar animal y la conservación del suelo y los recursos naturales.</w:t>
      </w:r>
    </w:p>
    <w:p w14:paraId="41DCA614" w14:textId="77777777" w:rsidR="00AC7AC8" w:rsidRPr="0081375C" w:rsidRDefault="00AC7AC8" w:rsidP="003F6B53">
      <w:pPr>
        <w:spacing w:line="23" w:lineRule="atLeast"/>
        <w:jc w:val="both"/>
        <w:rPr>
          <w:rFonts w:ascii="Arial" w:eastAsia="Calibri" w:hAnsi="Arial" w:cs="Arial"/>
          <w:color w:val="000000" w:themeColor="text1"/>
        </w:rPr>
      </w:pPr>
    </w:p>
    <w:p w14:paraId="6C18DAE9" w14:textId="77777777" w:rsidR="00825D4D" w:rsidRPr="0081375C" w:rsidRDefault="00806784"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 xml:space="preserve">TEJIDO URBANO: </w:t>
      </w:r>
      <w:r w:rsidRPr="0081375C">
        <w:rPr>
          <w:rFonts w:ascii="Arial" w:eastAsia="Calibri" w:hAnsi="Arial" w:cs="Arial"/>
          <w:color w:val="000000" w:themeColor="text1"/>
        </w:rPr>
        <w:t>zonas urbanizadas que incluyen los territorios cubiertos por infraestructura urbana y todos aquellos espacios verdes y redes de comunicación asociados con ellas, puede ser continuo o discontinuo (IDEAM, 2010).</w:t>
      </w:r>
    </w:p>
    <w:p w14:paraId="3FF7B270" w14:textId="77777777" w:rsidR="00AC7AC8" w:rsidRPr="0081375C" w:rsidRDefault="00AC7AC8" w:rsidP="003F6B53">
      <w:pPr>
        <w:spacing w:line="23" w:lineRule="atLeast"/>
        <w:jc w:val="both"/>
        <w:rPr>
          <w:rFonts w:ascii="Arial" w:eastAsia="Calibri" w:hAnsi="Arial" w:cs="Arial"/>
          <w:color w:val="000000" w:themeColor="text1"/>
        </w:rPr>
      </w:pPr>
    </w:p>
    <w:p w14:paraId="4AFDAD01" w14:textId="1253BCF7" w:rsidR="00825D4D" w:rsidRPr="0081375C" w:rsidRDefault="00A6646E"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VEGETACIÓN</w:t>
      </w:r>
      <w:r w:rsidR="00806784" w:rsidRPr="0081375C">
        <w:rPr>
          <w:rFonts w:ascii="Arial" w:eastAsia="Calibri" w:hAnsi="Arial" w:cs="Arial"/>
          <w:b/>
          <w:bCs/>
          <w:color w:val="000000" w:themeColor="text1"/>
        </w:rPr>
        <w:t xml:space="preserve"> SECUNDARIA ALTA: </w:t>
      </w:r>
      <w:r w:rsidR="00806784" w:rsidRPr="0081375C">
        <w:rPr>
          <w:rFonts w:ascii="Arial" w:eastAsia="Calibri" w:hAnsi="Arial" w:cs="Arial"/>
          <w:color w:val="000000" w:themeColor="text1"/>
        </w:rPr>
        <w:t>son aquellas áreas cubiertas por vegetación principalmente arbórea con dosel irregular y presencia ocasional de arbustos, palmas y enredaderas, que corresponde a los estadios intermedios de la sucesión vegetal, después</w:t>
      </w:r>
      <w:r w:rsidR="00FA5433" w:rsidRPr="0081375C">
        <w:rPr>
          <w:rFonts w:ascii="Arial" w:eastAsia="Calibri" w:hAnsi="Arial" w:cs="Arial"/>
          <w:color w:val="000000" w:themeColor="text1"/>
        </w:rPr>
        <w:t xml:space="preserve"> </w:t>
      </w:r>
      <w:r w:rsidR="00806784" w:rsidRPr="0081375C">
        <w:rPr>
          <w:rFonts w:ascii="Arial" w:eastAsia="Calibri" w:hAnsi="Arial" w:cs="Arial"/>
          <w:color w:val="000000" w:themeColor="text1"/>
        </w:rPr>
        <w:t xml:space="preserve">de presentarse un proceso de deforestación de los bosques o </w:t>
      </w:r>
      <w:proofErr w:type="spellStart"/>
      <w:r w:rsidR="00806784" w:rsidRPr="0081375C">
        <w:rPr>
          <w:rFonts w:ascii="Arial" w:eastAsia="Calibri" w:hAnsi="Arial" w:cs="Arial"/>
          <w:color w:val="000000" w:themeColor="text1"/>
        </w:rPr>
        <w:t>aforestación</w:t>
      </w:r>
      <w:proofErr w:type="spellEnd"/>
      <w:r w:rsidR="00806784" w:rsidRPr="0081375C">
        <w:rPr>
          <w:rFonts w:ascii="Arial" w:eastAsia="Calibri" w:hAnsi="Arial" w:cs="Arial"/>
          <w:color w:val="000000" w:themeColor="text1"/>
        </w:rPr>
        <w:t xml:space="preserve"> de los pastizales. Se desarrolla luego de varios años de la intervención original, generalmente después de la etapa secundaria baja. Según el tiempo transcurrido se podrán encontrar comunidades de árboles formadas por una sola especie o por varias (IDEAM, 2010).</w:t>
      </w:r>
    </w:p>
    <w:p w14:paraId="4253F784" w14:textId="77777777" w:rsidR="00AC7AC8" w:rsidRPr="0081375C" w:rsidRDefault="00AC7AC8" w:rsidP="003F6B53">
      <w:pPr>
        <w:spacing w:line="23" w:lineRule="atLeast"/>
        <w:jc w:val="both"/>
        <w:rPr>
          <w:rFonts w:ascii="Arial" w:eastAsia="Calibri" w:hAnsi="Arial" w:cs="Arial"/>
          <w:color w:val="000000" w:themeColor="text1"/>
        </w:rPr>
      </w:pPr>
    </w:p>
    <w:p w14:paraId="3B97A944" w14:textId="2072285D" w:rsidR="00825D4D" w:rsidRPr="0081375C" w:rsidRDefault="00A6646E" w:rsidP="003F6B53">
      <w:pPr>
        <w:spacing w:line="23" w:lineRule="atLeast"/>
        <w:jc w:val="both"/>
        <w:rPr>
          <w:rFonts w:ascii="Arial" w:eastAsia="Calibri" w:hAnsi="Arial" w:cs="Arial"/>
          <w:color w:val="000000" w:themeColor="text1"/>
        </w:rPr>
      </w:pPr>
      <w:r w:rsidRPr="0081375C">
        <w:rPr>
          <w:rFonts w:ascii="Arial" w:eastAsia="Calibri" w:hAnsi="Arial" w:cs="Arial"/>
          <w:b/>
          <w:bCs/>
          <w:color w:val="000000" w:themeColor="text1"/>
        </w:rPr>
        <w:t>VEGETACIÓN</w:t>
      </w:r>
      <w:r w:rsidR="00806784" w:rsidRPr="0081375C">
        <w:rPr>
          <w:rFonts w:ascii="Arial" w:eastAsia="Calibri" w:hAnsi="Arial" w:cs="Arial"/>
          <w:b/>
          <w:bCs/>
          <w:color w:val="000000" w:themeColor="text1"/>
        </w:rPr>
        <w:t xml:space="preserve"> SECUNDARIA BAJA: </w:t>
      </w:r>
      <w:r w:rsidR="00806784" w:rsidRPr="0081375C">
        <w:rPr>
          <w:rFonts w:ascii="Arial" w:eastAsia="Calibri" w:hAnsi="Arial" w:cs="Arial"/>
          <w:color w:val="000000" w:themeColor="text1"/>
        </w:rPr>
        <w:t xml:space="preserve">son aquellas áreas cubiertas por vegetación principalmente arbustiva y herbácea con dosel irregular y presencia ocasional de árboles y enredaderas, que corresponde a los estadios iniciales de la sucesión vegetal después de presentarse un proceso de deforestación de los bosques o </w:t>
      </w:r>
      <w:proofErr w:type="spellStart"/>
      <w:r w:rsidR="00806784" w:rsidRPr="0081375C">
        <w:rPr>
          <w:rFonts w:ascii="Arial" w:eastAsia="Calibri" w:hAnsi="Arial" w:cs="Arial"/>
          <w:color w:val="000000" w:themeColor="text1"/>
        </w:rPr>
        <w:t>aforestación</w:t>
      </w:r>
      <w:proofErr w:type="spellEnd"/>
      <w:r w:rsidR="00806784" w:rsidRPr="0081375C">
        <w:rPr>
          <w:rFonts w:ascii="Arial" w:eastAsia="Calibri" w:hAnsi="Arial" w:cs="Arial"/>
          <w:color w:val="000000" w:themeColor="text1"/>
        </w:rPr>
        <w:t xml:space="preserve"> de los pastizales. Se desarrolla posterior a la intervención original y, generalmente, están conformadas por comunidades de arbustos y herbáceas formadas por muchas especies (IDEAM, 2010).</w:t>
      </w:r>
    </w:p>
    <w:p w14:paraId="267BDD35" w14:textId="78E1FDFC" w:rsidR="00AC7AC8" w:rsidRPr="0081375C" w:rsidRDefault="00AC7AC8">
      <w:pPr>
        <w:rPr>
          <w:rFonts w:ascii="Arial" w:eastAsia="Calibri" w:hAnsi="Arial" w:cs="Arial"/>
          <w:color w:val="000000" w:themeColor="text1"/>
        </w:rPr>
      </w:pPr>
      <w:r w:rsidRPr="0081375C">
        <w:rPr>
          <w:rFonts w:ascii="Arial" w:eastAsia="Calibri" w:hAnsi="Arial" w:cs="Arial"/>
          <w:color w:val="000000" w:themeColor="text1"/>
        </w:rPr>
        <w:br w:type="page"/>
      </w:r>
    </w:p>
    <w:p w14:paraId="444558F4" w14:textId="77777777" w:rsidR="00825D4D" w:rsidRPr="0081375C" w:rsidRDefault="00806784">
      <w:pPr>
        <w:pStyle w:val="Ttulo1"/>
        <w:numPr>
          <w:ilvl w:val="0"/>
          <w:numId w:val="14"/>
        </w:numPr>
        <w:spacing w:before="0" w:after="0" w:line="23" w:lineRule="atLeast"/>
        <w:rPr>
          <w:rFonts w:ascii="Arial" w:eastAsia="Aptos" w:hAnsi="Arial" w:cs="Arial"/>
          <w:bCs/>
          <w:color w:val="000000" w:themeColor="text1"/>
        </w:rPr>
      </w:pPr>
      <w:bookmarkStart w:id="3" w:name="_Toc232154400"/>
      <w:bookmarkStart w:id="4" w:name="_Toc233304161"/>
      <w:r w:rsidRPr="0081375C">
        <w:rPr>
          <w:rFonts w:ascii="Arial" w:eastAsia="Aptos" w:hAnsi="Arial" w:cs="Arial"/>
          <w:bCs/>
          <w:color w:val="000000" w:themeColor="text1"/>
        </w:rPr>
        <w:lastRenderedPageBreak/>
        <w:t>Arquitectura del documento</w:t>
      </w:r>
      <w:bookmarkEnd w:id="3"/>
      <w:bookmarkEnd w:id="4"/>
    </w:p>
    <w:p w14:paraId="4E36069B" w14:textId="77777777" w:rsidR="00AC7AC8" w:rsidRPr="0081375C" w:rsidRDefault="00AC7AC8" w:rsidP="00AC7AC8">
      <w:pPr>
        <w:rPr>
          <w:rFonts w:ascii="Arial" w:hAnsi="Arial" w:cs="Arial"/>
        </w:rPr>
      </w:pPr>
    </w:p>
    <w:p w14:paraId="04BA573D" w14:textId="0A6FEF81" w:rsidR="00825D4D" w:rsidRPr="0081375C" w:rsidRDefault="00825D4D"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La guía se </w:t>
      </w:r>
      <w:r w:rsidR="0052717E" w:rsidRPr="0081375C">
        <w:rPr>
          <w:rFonts w:ascii="Arial" w:eastAsia="Aptos" w:hAnsi="Arial" w:cs="Arial"/>
          <w:color w:val="000000" w:themeColor="text1"/>
        </w:rPr>
        <w:t xml:space="preserve">estructura </w:t>
      </w:r>
      <w:r w:rsidRPr="0081375C">
        <w:rPr>
          <w:rFonts w:ascii="Arial" w:eastAsia="Aptos" w:hAnsi="Arial" w:cs="Arial"/>
          <w:color w:val="000000" w:themeColor="text1"/>
        </w:rPr>
        <w:t xml:space="preserve">en </w:t>
      </w:r>
      <w:r w:rsidR="00FA5433" w:rsidRPr="0081375C">
        <w:rPr>
          <w:rFonts w:ascii="Arial" w:eastAsia="Aptos" w:hAnsi="Arial" w:cs="Arial"/>
          <w:color w:val="000000" w:themeColor="text1"/>
        </w:rPr>
        <w:t>tres</w:t>
      </w:r>
      <w:r w:rsidRPr="0081375C">
        <w:rPr>
          <w:rFonts w:ascii="Arial" w:eastAsia="Aptos" w:hAnsi="Arial" w:cs="Arial"/>
          <w:color w:val="000000" w:themeColor="text1"/>
        </w:rPr>
        <w:t xml:space="preserve"> componentes principales. El marco normativo resume la legislación relevante para la creación de </w:t>
      </w:r>
      <w:r w:rsidR="0052717E" w:rsidRPr="0081375C">
        <w:rPr>
          <w:rFonts w:ascii="Arial" w:eastAsia="Aptos" w:hAnsi="Arial" w:cs="Arial"/>
          <w:color w:val="000000" w:themeColor="text1"/>
        </w:rPr>
        <w:t xml:space="preserve">esquemas </w:t>
      </w:r>
      <w:r w:rsidRPr="0081375C">
        <w:rPr>
          <w:rFonts w:ascii="Arial" w:eastAsia="Aptos" w:hAnsi="Arial" w:cs="Arial"/>
          <w:color w:val="000000" w:themeColor="text1"/>
        </w:rPr>
        <w:t>de Pago por Servicios Ambientales a nivel nacional y distrital, justifica las competencias del Distrito para implementar proyectos de PSA y vincula estas acciones con los instrumentos de planeación estratégica y financiación disponibles para la Secretaría de Medio Ambiente.</w:t>
      </w:r>
    </w:p>
    <w:p w14:paraId="1A42F7D8" w14:textId="77777777" w:rsidR="00AC7AC8" w:rsidRPr="0081375C" w:rsidRDefault="00AC7AC8" w:rsidP="003F6B53">
      <w:pPr>
        <w:pStyle w:val="Prrafodelista"/>
        <w:spacing w:line="23" w:lineRule="atLeast"/>
        <w:ind w:left="0"/>
        <w:contextualSpacing w:val="0"/>
        <w:jc w:val="both"/>
        <w:rPr>
          <w:rFonts w:ascii="Arial" w:eastAsia="Aptos" w:hAnsi="Arial" w:cs="Arial"/>
          <w:color w:val="000000" w:themeColor="text1"/>
        </w:rPr>
      </w:pPr>
    </w:p>
    <w:p w14:paraId="05137029" w14:textId="7AA6E724"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La sección de actividades describe la implementación de los diferentes componentes del esquema y se organiza en tres bloques, que también corresponden con las etapas del ciclo completo de un proyecto PSA:</w:t>
      </w:r>
    </w:p>
    <w:p w14:paraId="0735615A" w14:textId="77777777" w:rsidR="00AC7AC8" w:rsidRPr="0081375C" w:rsidRDefault="00AC7AC8" w:rsidP="003F6B53">
      <w:pPr>
        <w:pStyle w:val="Prrafodelista"/>
        <w:spacing w:line="23" w:lineRule="atLeast"/>
        <w:ind w:left="0"/>
        <w:contextualSpacing w:val="0"/>
        <w:jc w:val="both"/>
        <w:rPr>
          <w:rFonts w:ascii="Arial" w:eastAsia="Aptos" w:hAnsi="Arial" w:cs="Arial"/>
          <w:color w:val="000000" w:themeColor="text1"/>
        </w:rPr>
      </w:pPr>
    </w:p>
    <w:p w14:paraId="55C28C1E" w14:textId="2C0FBA0C" w:rsidR="00825D4D" w:rsidRPr="0081375C" w:rsidRDefault="00806784">
      <w:pPr>
        <w:pStyle w:val="Prrafodelista"/>
        <w:numPr>
          <w:ilvl w:val="0"/>
          <w:numId w:val="16"/>
        </w:num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Etapa de Implementación:</w:t>
      </w:r>
    </w:p>
    <w:p w14:paraId="57BC3D5B" w14:textId="1A49AB97" w:rsidR="00CD651A" w:rsidRPr="0081375C" w:rsidRDefault="608C8B8C"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Define cómo se delimita el universo de predios, se convoca a los titulares, se evalúan las postulaciones y se formalizan los acuerdos.</w:t>
      </w:r>
    </w:p>
    <w:p w14:paraId="1748726F" w14:textId="77777777" w:rsidR="00A6646E" w:rsidRPr="0081375C" w:rsidRDefault="00A6646E" w:rsidP="7670D8C4">
      <w:pPr>
        <w:spacing w:line="23" w:lineRule="atLeast"/>
        <w:jc w:val="both"/>
        <w:rPr>
          <w:rFonts w:ascii="Arial" w:eastAsia="Aptos" w:hAnsi="Arial" w:cs="Arial"/>
          <w:color w:val="000000" w:themeColor="text1"/>
        </w:rPr>
      </w:pPr>
    </w:p>
    <w:p w14:paraId="7CB8C797" w14:textId="2856C229" w:rsidR="00825D4D" w:rsidRPr="0081375C" w:rsidRDefault="00806784">
      <w:pPr>
        <w:pStyle w:val="Prrafodelista"/>
        <w:numPr>
          <w:ilvl w:val="0"/>
          <w:numId w:val="16"/>
        </w:num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Etapa de Ejecución:</w:t>
      </w:r>
    </w:p>
    <w:p w14:paraId="18F47981" w14:textId="482D21D4" w:rsidR="00CD651A" w:rsidRPr="0081375C" w:rsidRDefault="608C8B8C"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Despliega las acciones de campo y comportamentales, el registro ante la autoridad ambiental, el seguimiento jurídico</w:t>
      </w:r>
      <w:r w:rsidR="65FD872D" w:rsidRPr="0081375C">
        <w:rPr>
          <w:rFonts w:ascii="Arial" w:eastAsia="Aptos" w:hAnsi="Arial" w:cs="Arial"/>
          <w:color w:val="000000" w:themeColor="text1"/>
        </w:rPr>
        <w:t>,</w:t>
      </w:r>
      <w:r w:rsidRPr="0081375C">
        <w:rPr>
          <w:rFonts w:ascii="Arial" w:eastAsia="Aptos" w:hAnsi="Arial" w:cs="Arial"/>
          <w:color w:val="000000" w:themeColor="text1"/>
        </w:rPr>
        <w:t xml:space="preserve"> técnico y de buenas prácticas productivas</w:t>
      </w:r>
      <w:r w:rsidR="17963B3D" w:rsidRPr="0081375C">
        <w:rPr>
          <w:rFonts w:ascii="Arial" w:eastAsia="Aptos" w:hAnsi="Arial" w:cs="Arial"/>
          <w:color w:val="000000" w:themeColor="text1"/>
        </w:rPr>
        <w:t>;</w:t>
      </w:r>
      <w:r w:rsidRPr="0081375C">
        <w:rPr>
          <w:rFonts w:ascii="Arial" w:eastAsia="Aptos" w:hAnsi="Arial" w:cs="Arial"/>
          <w:color w:val="000000" w:themeColor="text1"/>
        </w:rPr>
        <w:t xml:space="preserve"> el procedimiento de incumplimientos, la socialización de informes y el reconocimiento del pago durante la vigencia del acuerdo.</w:t>
      </w:r>
    </w:p>
    <w:p w14:paraId="067791AB" w14:textId="77777777" w:rsidR="00A6646E" w:rsidRPr="0081375C" w:rsidRDefault="00A6646E" w:rsidP="7670D8C4">
      <w:pPr>
        <w:spacing w:line="23" w:lineRule="atLeast"/>
        <w:jc w:val="both"/>
        <w:rPr>
          <w:rFonts w:ascii="Arial" w:eastAsia="Aptos" w:hAnsi="Arial" w:cs="Arial"/>
          <w:color w:val="000000" w:themeColor="text1"/>
        </w:rPr>
      </w:pPr>
    </w:p>
    <w:p w14:paraId="0E97C4E7" w14:textId="77CA0ACF" w:rsidR="00825D4D" w:rsidRPr="0081375C" w:rsidRDefault="00806784">
      <w:pPr>
        <w:pStyle w:val="Prrafodelista"/>
        <w:numPr>
          <w:ilvl w:val="0"/>
          <w:numId w:val="16"/>
        </w:num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Etapa de seguimiento y evaluación: </w:t>
      </w:r>
    </w:p>
    <w:p w14:paraId="6F697EA6" w14:textId="77777777" w:rsidR="00825D4D" w:rsidRPr="0081375C" w:rsidRDefault="608C8B8C"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Establece el sistema evaluativo del esquema. Parte de una teoría del cambio explícita y de un conjunto común de instrumentos de monitoreo, y opera en dos modos sobre la misma cadena causal: una evaluación formativa, que vigila cada trimestre los supuestos mediante un semáforo y audita anualmente el diseño y la implementación, y una evaluación sumativa, que juzga los resultados y el impacto y emite el </w:t>
      </w:r>
      <w:proofErr w:type="gramStart"/>
      <w:r w:rsidRPr="0081375C">
        <w:rPr>
          <w:rFonts w:ascii="Arial" w:eastAsia="Aptos" w:hAnsi="Arial" w:cs="Arial"/>
          <w:color w:val="000000" w:themeColor="text1"/>
        </w:rPr>
        <w:t>veredicto final</w:t>
      </w:r>
      <w:proofErr w:type="gramEnd"/>
      <w:r w:rsidRPr="0081375C">
        <w:rPr>
          <w:rFonts w:ascii="Arial" w:eastAsia="Aptos" w:hAnsi="Arial" w:cs="Arial"/>
          <w:color w:val="000000" w:themeColor="text1"/>
        </w:rPr>
        <w:t>.</w:t>
      </w:r>
    </w:p>
    <w:p w14:paraId="7425D684" w14:textId="77777777" w:rsidR="00CD651A" w:rsidRPr="0081375C" w:rsidRDefault="00CD651A" w:rsidP="00403B33">
      <w:pPr>
        <w:spacing w:line="23" w:lineRule="atLeast"/>
        <w:jc w:val="both"/>
        <w:rPr>
          <w:rFonts w:ascii="Arial" w:eastAsia="Aptos" w:hAnsi="Arial" w:cs="Arial"/>
          <w:color w:val="000000" w:themeColor="text1"/>
        </w:rPr>
      </w:pPr>
    </w:p>
    <w:p w14:paraId="78DE8C52" w14:textId="78DBFFAD"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Los tres bloques se leen en secuencia y se ejecutan de forma encadenada y recurrente; las salidas de cada fase son insumos formales de la siguiente, y el bloque de evaluación retroalimenta a los dos anteriores entre ciclos. </w:t>
      </w:r>
    </w:p>
    <w:p w14:paraId="1B959E5A" w14:textId="77777777" w:rsidR="00CD651A" w:rsidRPr="0081375C" w:rsidRDefault="00CD651A" w:rsidP="003F6B53">
      <w:pPr>
        <w:pStyle w:val="Prrafodelista"/>
        <w:spacing w:line="23" w:lineRule="atLeast"/>
        <w:ind w:left="0"/>
        <w:contextualSpacing w:val="0"/>
        <w:jc w:val="both"/>
        <w:rPr>
          <w:rFonts w:ascii="Arial" w:eastAsia="Aptos" w:hAnsi="Arial" w:cs="Arial"/>
          <w:color w:val="000000" w:themeColor="text1"/>
        </w:rPr>
      </w:pPr>
    </w:p>
    <w:p w14:paraId="5BBAD9BE" w14:textId="74862E5D"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Cada actividad se incluye bajo un sistema de numeración decimal jerárquica. Esto permite ajustar, adicionar o retirar actividades sin afectar de forma significativa el orden del documento. La numeración indica la jerarquía interna de los esquemas de PSA, que se dividen en etapas, actividades y subactividades. </w:t>
      </w:r>
    </w:p>
    <w:p w14:paraId="5B7ED1FC" w14:textId="77777777" w:rsidR="00CD651A" w:rsidRPr="0081375C" w:rsidRDefault="00CD651A" w:rsidP="003F6B53">
      <w:pPr>
        <w:pStyle w:val="Prrafodelista"/>
        <w:spacing w:line="23" w:lineRule="atLeast"/>
        <w:ind w:left="0"/>
        <w:contextualSpacing w:val="0"/>
        <w:jc w:val="both"/>
        <w:rPr>
          <w:rFonts w:ascii="Arial" w:eastAsia="Aptos" w:hAnsi="Arial" w:cs="Arial"/>
          <w:color w:val="000000" w:themeColor="text1"/>
        </w:rPr>
      </w:pPr>
    </w:p>
    <w:p w14:paraId="7E9E88E8" w14:textId="1CC59771"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Para las actividades en las que haya variaciones según la modalidad se establece una especificación mínima para la construcción de módulos de implementación diferenciados. En esos casos, la numeración incluye la especificación mínima como base y las implementaciones específicas como subactividades. Como ejemplo, la priorización previa define la estructura genérica común a cualquier modalidad de priorización y se concreta </w:t>
      </w:r>
      <w:r w:rsidRPr="0081375C">
        <w:rPr>
          <w:rFonts w:ascii="Arial" w:eastAsia="Aptos" w:hAnsi="Arial" w:cs="Arial"/>
          <w:color w:val="000000" w:themeColor="text1"/>
        </w:rPr>
        <w:lastRenderedPageBreak/>
        <w:t xml:space="preserve">en PSAH y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La adición de nuevos mecanismos de priorización solo implicaría la adición de una nueva subactividad.</w:t>
      </w:r>
    </w:p>
    <w:p w14:paraId="68048E9B" w14:textId="77777777" w:rsidR="00CD651A" w:rsidRPr="0081375C" w:rsidRDefault="00CD651A" w:rsidP="003F6B53">
      <w:pPr>
        <w:pStyle w:val="Prrafodelista"/>
        <w:spacing w:line="23" w:lineRule="atLeast"/>
        <w:ind w:left="0"/>
        <w:contextualSpacing w:val="0"/>
        <w:jc w:val="both"/>
        <w:rPr>
          <w:rFonts w:ascii="Arial" w:eastAsia="Aptos" w:hAnsi="Arial" w:cs="Arial"/>
          <w:color w:val="000000" w:themeColor="text1"/>
        </w:rPr>
      </w:pPr>
    </w:p>
    <w:p w14:paraId="7C16E962" w14:textId="0FC360AB"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La arquitectura modular de la guía también permite que actividades que aún no tienen modalidades diferentes puedan ser separadas según necesidades futuras. En esos casos, se deberá construir la especificación general, que reemplazará la actividad actual en la numeración, y se incluirán las diferentes modalidades como subactividades siguiendo el ejemplo. Esta estructura permite que la guía sea </w:t>
      </w:r>
      <w:r w:rsidR="00544275" w:rsidRPr="0081375C">
        <w:rPr>
          <w:rFonts w:ascii="Arial" w:eastAsia="Aptos" w:hAnsi="Arial" w:cs="Arial"/>
          <w:color w:val="000000" w:themeColor="text1"/>
        </w:rPr>
        <w:t>flexible</w:t>
      </w:r>
      <w:r w:rsidRPr="0081375C">
        <w:rPr>
          <w:rFonts w:ascii="Arial" w:eastAsia="Aptos" w:hAnsi="Arial" w:cs="Arial"/>
          <w:color w:val="000000" w:themeColor="text1"/>
        </w:rPr>
        <w:t xml:space="preserve"> manteniendo el orden y la coherencia.</w:t>
      </w:r>
    </w:p>
    <w:p w14:paraId="4FA5C1E9" w14:textId="77777777" w:rsidR="00CD651A" w:rsidRPr="0081375C" w:rsidRDefault="00CD651A" w:rsidP="003F6B53">
      <w:pPr>
        <w:pStyle w:val="Prrafodelista"/>
        <w:spacing w:line="23" w:lineRule="atLeast"/>
        <w:ind w:left="0"/>
        <w:contextualSpacing w:val="0"/>
        <w:jc w:val="both"/>
        <w:rPr>
          <w:rFonts w:ascii="Arial" w:eastAsia="Aptos" w:hAnsi="Arial" w:cs="Arial"/>
          <w:color w:val="000000" w:themeColor="text1"/>
        </w:rPr>
      </w:pPr>
    </w:p>
    <w:p w14:paraId="160458EE" w14:textId="77777777"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Este diseño cumple tres funciones operativas:</w:t>
      </w:r>
    </w:p>
    <w:p w14:paraId="7CC5661A" w14:textId="77777777" w:rsidR="00CD651A" w:rsidRPr="0081375C" w:rsidRDefault="00CD651A" w:rsidP="003F6B53">
      <w:pPr>
        <w:pStyle w:val="Prrafodelista"/>
        <w:spacing w:line="23" w:lineRule="atLeast"/>
        <w:ind w:left="0"/>
        <w:contextualSpacing w:val="0"/>
        <w:jc w:val="both"/>
        <w:rPr>
          <w:rFonts w:ascii="Arial" w:eastAsia="Aptos" w:hAnsi="Arial" w:cs="Arial"/>
          <w:color w:val="000000" w:themeColor="text1"/>
        </w:rPr>
      </w:pPr>
    </w:p>
    <w:p w14:paraId="4EAFB858" w14:textId="64414279" w:rsidR="00825D4D" w:rsidRPr="0081375C" w:rsidRDefault="00806784" w:rsidP="00403B33">
      <w:pPr>
        <w:pStyle w:val="Prrafodelista"/>
        <w:numPr>
          <w:ilvl w:val="0"/>
          <w:numId w:val="27"/>
        </w:numPr>
        <w:spacing w:line="23" w:lineRule="atLeast"/>
        <w:contextualSpacing w:val="0"/>
        <w:jc w:val="both"/>
        <w:rPr>
          <w:rFonts w:ascii="Arial" w:hAnsi="Arial"/>
        </w:rPr>
      </w:pPr>
      <w:r w:rsidRPr="0081375C">
        <w:rPr>
          <w:rFonts w:ascii="Arial" w:hAnsi="Arial"/>
        </w:rPr>
        <w:t>Separa lo permanente de lo contingente: La arquitectura genérica de un componente cambia con baja frecuencia, mientras que su aplicación particular puede</w:t>
      </w:r>
      <w:r w:rsidR="00FA5433" w:rsidRPr="0081375C">
        <w:rPr>
          <w:rFonts w:ascii="Arial" w:hAnsi="Arial"/>
        </w:rPr>
        <w:t xml:space="preserve"> </w:t>
      </w:r>
      <w:r w:rsidRPr="0081375C">
        <w:rPr>
          <w:rFonts w:ascii="Arial" w:hAnsi="Arial"/>
        </w:rPr>
        <w:t xml:space="preserve">ajustarse entre ciclos sin alterar el marco. </w:t>
      </w:r>
    </w:p>
    <w:p w14:paraId="1BE35295" w14:textId="41523CC4" w:rsidR="00825D4D" w:rsidRPr="0081375C" w:rsidRDefault="00806784" w:rsidP="00403B33">
      <w:pPr>
        <w:pStyle w:val="Prrafodelista"/>
        <w:numPr>
          <w:ilvl w:val="0"/>
          <w:numId w:val="27"/>
        </w:numPr>
        <w:spacing w:line="23" w:lineRule="atLeast"/>
        <w:contextualSpacing w:val="0"/>
        <w:jc w:val="both"/>
        <w:rPr>
          <w:rFonts w:ascii="Arial" w:hAnsi="Arial"/>
        </w:rPr>
      </w:pPr>
      <w:r w:rsidRPr="0081375C">
        <w:rPr>
          <w:rFonts w:ascii="Arial" w:hAnsi="Arial"/>
        </w:rPr>
        <w:t>Facilita la incorporación de nuevas modalidades PSA: los diferentes componentes de una nueva modalidad serían instancias adicionales de la estructura genérica correspondiente, sin reescribir la lógica común.</w:t>
      </w:r>
    </w:p>
    <w:p w14:paraId="106E7EAD" w14:textId="6D9B027B" w:rsidR="00825D4D" w:rsidRPr="0081375C" w:rsidRDefault="00806784" w:rsidP="00403B33">
      <w:pPr>
        <w:pStyle w:val="Prrafodelista"/>
        <w:numPr>
          <w:ilvl w:val="0"/>
          <w:numId w:val="27"/>
        </w:numPr>
        <w:spacing w:line="23" w:lineRule="atLeast"/>
        <w:contextualSpacing w:val="0"/>
        <w:jc w:val="both"/>
        <w:rPr>
          <w:rFonts w:ascii="Arial" w:hAnsi="Arial"/>
        </w:rPr>
      </w:pPr>
      <w:r w:rsidRPr="0081375C">
        <w:rPr>
          <w:rFonts w:ascii="Arial" w:hAnsi="Arial"/>
        </w:rPr>
        <w:t>Focaliza las revisiones institucionales: una decisión sobre criterios específicos se debate sobre la sección aplicada sin abrir la arquitectura general. Se pueden ajustar los componentes sin afectar la estructura.</w:t>
      </w:r>
    </w:p>
    <w:p w14:paraId="599FCA1A" w14:textId="77777777" w:rsidR="00CD651A" w:rsidRPr="0081375C" w:rsidRDefault="00CD651A" w:rsidP="003F6B53">
      <w:pPr>
        <w:pStyle w:val="Prrafodelista"/>
        <w:spacing w:line="23" w:lineRule="atLeast"/>
        <w:contextualSpacing w:val="0"/>
        <w:jc w:val="both"/>
        <w:rPr>
          <w:rFonts w:ascii="Arial" w:eastAsia="Aptos" w:hAnsi="Arial" w:cs="Arial"/>
          <w:color w:val="000000" w:themeColor="text1"/>
        </w:rPr>
      </w:pPr>
    </w:p>
    <w:p w14:paraId="5F6F9AEF" w14:textId="0118FBAA"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Las especificaciones generales funcionan como </w:t>
      </w:r>
      <w:r w:rsidR="00FA5433" w:rsidRPr="0081375C">
        <w:rPr>
          <w:rFonts w:ascii="Arial" w:eastAsia="Aptos" w:hAnsi="Arial" w:cs="Arial"/>
          <w:color w:val="000000" w:themeColor="text1"/>
        </w:rPr>
        <w:t>una base</w:t>
      </w:r>
      <w:r w:rsidRPr="0081375C">
        <w:rPr>
          <w:rFonts w:ascii="Arial" w:eastAsia="Aptos" w:hAnsi="Arial" w:cs="Arial"/>
          <w:color w:val="000000" w:themeColor="text1"/>
        </w:rPr>
        <w:t xml:space="preserve"> de conformidad, de modo que cualquier sección aplicada nueva debe cumplirlas, lo que garantiza su compatibilidad con el resto del documento sin requerir revisiones cruzadas. La numeración decimal absorbe estas adiciones sin renumerar lo existente, y las referencias internas, formuladas por número, permanecen estables. El costo marginal de extender el esquema queda acotado a la sección aplicada que se incorpora, y la decisión institucional sobre esa extensión puede tramitarse de forma independiente del resto de la guía.</w:t>
      </w:r>
    </w:p>
    <w:p w14:paraId="3AF58A5D" w14:textId="78C9E254" w:rsidR="00CD651A" w:rsidRPr="0081375C" w:rsidRDefault="00CD651A">
      <w:pPr>
        <w:rPr>
          <w:rFonts w:ascii="Arial" w:eastAsia="Aptos" w:hAnsi="Arial" w:cs="Arial"/>
          <w:color w:val="000000" w:themeColor="text1"/>
        </w:rPr>
      </w:pPr>
      <w:r w:rsidRPr="0081375C">
        <w:rPr>
          <w:rFonts w:ascii="Arial" w:eastAsia="Aptos" w:hAnsi="Arial" w:cs="Arial"/>
          <w:color w:val="000000" w:themeColor="text1"/>
        </w:rPr>
        <w:br w:type="page"/>
      </w:r>
    </w:p>
    <w:p w14:paraId="5797B5C3" w14:textId="77777777" w:rsidR="00825D4D" w:rsidRPr="0081375C" w:rsidRDefault="00806784">
      <w:pPr>
        <w:pStyle w:val="Ttulo1"/>
        <w:numPr>
          <w:ilvl w:val="0"/>
          <w:numId w:val="14"/>
        </w:numPr>
        <w:spacing w:before="0" w:after="0" w:line="23" w:lineRule="atLeast"/>
        <w:rPr>
          <w:rFonts w:ascii="Arial" w:eastAsia="Aptos" w:hAnsi="Arial" w:cs="Arial"/>
          <w:bCs/>
          <w:color w:val="000000" w:themeColor="text1"/>
        </w:rPr>
      </w:pPr>
      <w:bookmarkStart w:id="5" w:name="_Toc232154401"/>
      <w:bookmarkStart w:id="6" w:name="_Toc233304162"/>
      <w:r w:rsidRPr="0081375C">
        <w:rPr>
          <w:rFonts w:ascii="Arial" w:eastAsia="Aptos" w:hAnsi="Arial" w:cs="Arial"/>
          <w:bCs/>
          <w:color w:val="000000" w:themeColor="text1"/>
        </w:rPr>
        <w:lastRenderedPageBreak/>
        <w:t>Contexto normativo</w:t>
      </w:r>
      <w:bookmarkEnd w:id="5"/>
      <w:bookmarkEnd w:id="6"/>
    </w:p>
    <w:p w14:paraId="4C6EEA85" w14:textId="77777777" w:rsidR="00CD651A" w:rsidRPr="0081375C" w:rsidRDefault="00CD651A" w:rsidP="00CD651A">
      <w:pPr>
        <w:rPr>
          <w:rFonts w:ascii="Arial" w:hAnsi="Arial" w:cs="Arial"/>
        </w:rPr>
      </w:pPr>
    </w:p>
    <w:p w14:paraId="0D82A1BA" w14:textId="77777777" w:rsidR="00825D4D" w:rsidRPr="0081375C" w:rsidRDefault="00806784">
      <w:pPr>
        <w:pStyle w:val="Ttulo2"/>
        <w:numPr>
          <w:ilvl w:val="1"/>
          <w:numId w:val="14"/>
        </w:numPr>
        <w:spacing w:before="0" w:line="23" w:lineRule="atLeast"/>
        <w:rPr>
          <w:rFonts w:ascii="Arial" w:eastAsia="Aptos" w:hAnsi="Arial" w:cs="Arial"/>
          <w:bCs/>
          <w:color w:val="000000" w:themeColor="text1"/>
        </w:rPr>
      </w:pPr>
      <w:bookmarkStart w:id="7" w:name="_Toc232154402"/>
      <w:bookmarkStart w:id="8" w:name="_Toc233304163"/>
      <w:r w:rsidRPr="0081375C">
        <w:rPr>
          <w:rFonts w:ascii="Arial" w:eastAsia="Aptos" w:hAnsi="Arial" w:cs="Arial"/>
          <w:bCs/>
          <w:color w:val="000000" w:themeColor="text1"/>
        </w:rPr>
        <w:t>Evolución Institucional y Contexto Nacional</w:t>
      </w:r>
      <w:bookmarkEnd w:id="7"/>
      <w:bookmarkEnd w:id="8"/>
    </w:p>
    <w:p w14:paraId="50328A50" w14:textId="77777777" w:rsidR="00CD651A" w:rsidRPr="0081375C" w:rsidRDefault="00CD651A" w:rsidP="00CD651A">
      <w:pPr>
        <w:rPr>
          <w:rFonts w:ascii="Arial" w:hAnsi="Arial" w:cs="Arial"/>
        </w:rPr>
      </w:pPr>
    </w:p>
    <w:p w14:paraId="29DD701A" w14:textId="77777777" w:rsidR="00825D4D" w:rsidRPr="0081375C" w:rsidRDefault="00806784" w:rsidP="003F6B53">
      <w:pPr>
        <w:spacing w:line="23" w:lineRule="atLeast"/>
        <w:jc w:val="both"/>
        <w:rPr>
          <w:rFonts w:ascii="Arial" w:eastAsia="Times New Roman" w:hAnsi="Arial" w:cs="Arial"/>
          <w:color w:val="000000" w:themeColor="text1"/>
        </w:rPr>
      </w:pPr>
      <w:r w:rsidRPr="0081375C">
        <w:rPr>
          <w:rFonts w:ascii="Arial" w:eastAsia="Times New Roman" w:hAnsi="Arial" w:cs="Arial"/>
          <w:color w:val="000000" w:themeColor="text1"/>
        </w:rPr>
        <w:t>El Pago por Servicios Ambientales (PSA) se ha establecido como una herramienta técnico-jurídica esencial para la preservación de la biodiversidad y el fomento de prácticas sostenibles en ecosistemas de especial importancia ecológica. Su desarrollo en Colombia ha transitado desde experiencias internacionales hacia una sólida adaptación local. Actualmente, el Plan Nacional de Desarrollo 2022-2026, "Colombia, Potencia Mundial de la Vida", lo posiciona como un instrumento económico y de mercado para el cuidado de la vida de ecosistemas terrestres.</w:t>
      </w:r>
    </w:p>
    <w:p w14:paraId="2F22640C" w14:textId="77777777" w:rsidR="00825D4D" w:rsidRPr="0081375C" w:rsidRDefault="00825D4D" w:rsidP="003F6B53">
      <w:pPr>
        <w:spacing w:line="23" w:lineRule="atLeast"/>
        <w:jc w:val="both"/>
        <w:rPr>
          <w:rFonts w:ascii="Arial" w:eastAsia="Times New Roman" w:hAnsi="Arial" w:cs="Arial"/>
          <w:color w:val="000000" w:themeColor="text1"/>
        </w:rPr>
      </w:pPr>
    </w:p>
    <w:p w14:paraId="5564E897" w14:textId="12F8D771" w:rsidR="00825D4D" w:rsidRPr="0081375C" w:rsidRDefault="00806784" w:rsidP="003F6B53">
      <w:pPr>
        <w:spacing w:line="23" w:lineRule="atLeast"/>
        <w:jc w:val="both"/>
        <w:rPr>
          <w:rFonts w:ascii="Arial" w:eastAsia="Times New Roman" w:hAnsi="Arial" w:cs="Arial"/>
          <w:color w:val="000000" w:themeColor="text1"/>
        </w:rPr>
      </w:pPr>
      <w:r w:rsidRPr="0081375C">
        <w:rPr>
          <w:rFonts w:ascii="Arial" w:eastAsia="Times New Roman" w:hAnsi="Arial" w:cs="Arial"/>
          <w:color w:val="000000" w:themeColor="text1"/>
        </w:rPr>
        <w:t xml:space="preserve">El modelo colombiano de PSA se distingue por su enfoque en áreas de importancia estratégica para la conservación del recurso hídrico, conforme a la obligación establecida en el artículo 111 de la Ley 99 de 1993, modificado por el artículo 210 de la Ley 1450 de 2011, mediante el cual dispuso que los departamentos y municipios dedicarán un porcentaje no inferior al 1% de sus ingresos corrientes para la adquisición y mantenimiento de las áreas de importancia estratégica para la conservación de recursos hídricos que surten de agua a los acueductos municipales, distritales y regionales, o para financiar esquemas de pago por servicios ambientales en dichas áreas. </w:t>
      </w:r>
    </w:p>
    <w:p w14:paraId="630A8AC0" w14:textId="77777777" w:rsidR="00CD651A" w:rsidRPr="0081375C" w:rsidRDefault="00CD651A" w:rsidP="003F6B53">
      <w:pPr>
        <w:spacing w:line="23" w:lineRule="atLeast"/>
        <w:jc w:val="both"/>
        <w:rPr>
          <w:rFonts w:ascii="Arial" w:eastAsia="Times New Roman" w:hAnsi="Arial" w:cs="Arial"/>
          <w:color w:val="000000" w:themeColor="text1"/>
        </w:rPr>
      </w:pPr>
    </w:p>
    <w:p w14:paraId="799956F1" w14:textId="45FDB711" w:rsidR="00825D4D" w:rsidRPr="0081375C" w:rsidRDefault="00806784" w:rsidP="003F6B53">
      <w:pPr>
        <w:spacing w:line="23" w:lineRule="atLeast"/>
        <w:jc w:val="both"/>
        <w:rPr>
          <w:rFonts w:ascii="Arial" w:eastAsia="Times New Roman" w:hAnsi="Arial" w:cs="Arial"/>
          <w:color w:val="000000" w:themeColor="text1"/>
        </w:rPr>
      </w:pPr>
      <w:r w:rsidRPr="0081375C">
        <w:rPr>
          <w:rFonts w:ascii="Arial" w:eastAsia="Times New Roman" w:hAnsi="Arial" w:cs="Arial"/>
          <w:color w:val="000000" w:themeColor="text1"/>
        </w:rPr>
        <w:t>La aplicación del PSA ha alcanzado una madurez normativa notable, consolidándose a través del Decreto Ley 870 de 2017 y su reglamentación en el Decreto 1076 de 2015. Así mismo, el Decreto 1007 de 2018, que modifica el Decreto 1076 de 2015 y el Decreto Ley 870 de 2017 ratifican que una de las fuentes financieras para la implementación de PSA son las definidas en el artículo 108 de la Ley 99 de 1993.</w:t>
      </w:r>
    </w:p>
    <w:p w14:paraId="28356D55" w14:textId="77777777" w:rsidR="00CD651A" w:rsidRPr="0081375C" w:rsidRDefault="00CD651A" w:rsidP="003F6B53">
      <w:pPr>
        <w:spacing w:line="23" w:lineRule="atLeast"/>
        <w:jc w:val="both"/>
        <w:rPr>
          <w:rFonts w:ascii="Arial" w:eastAsia="Times New Roman" w:hAnsi="Arial" w:cs="Arial"/>
          <w:color w:val="000000" w:themeColor="text1"/>
        </w:rPr>
      </w:pPr>
    </w:p>
    <w:p w14:paraId="326B82EE" w14:textId="63DEA3D1" w:rsidR="00825D4D" w:rsidRPr="0081375C" w:rsidRDefault="00806784" w:rsidP="729FED67">
      <w:pPr>
        <w:spacing w:line="23" w:lineRule="atLeast"/>
        <w:jc w:val="both"/>
        <w:rPr>
          <w:rFonts w:ascii="Arial" w:eastAsia="Times New Roman" w:hAnsi="Arial" w:cs="Arial"/>
          <w:i/>
          <w:color w:val="000000" w:themeColor="text1"/>
        </w:rPr>
      </w:pPr>
      <w:r w:rsidRPr="0081375C">
        <w:rPr>
          <w:rFonts w:ascii="Arial" w:eastAsia="Times New Roman" w:hAnsi="Arial" w:cs="Arial"/>
          <w:color w:val="000000" w:themeColor="text1"/>
        </w:rPr>
        <w:t>El artículo 45 de la Ley 99 de 1993 (Modificado transitoriamente por el Decreto 4629 de 2010); (Modificado por el art. 222 de la Ley 1450 de 2011); (Modificado por el art. 24 de la Ley 1930 de 2018) se establece el régimen de transferencias del sector eléctrico destinadas a las entidades territoriales y a las Corporaciones Autónomas Regionales. El artículo señala.</w:t>
      </w:r>
      <w:r w:rsidR="05DCD3C3" w:rsidRPr="0081375C">
        <w:rPr>
          <w:rFonts w:ascii="Arial" w:eastAsia="Times New Roman" w:hAnsi="Arial" w:cs="Arial"/>
          <w:color w:val="000000" w:themeColor="text1"/>
        </w:rPr>
        <w:t xml:space="preserve"> </w:t>
      </w:r>
      <w:r w:rsidR="17506B60" w:rsidRPr="0081375C">
        <w:rPr>
          <w:rFonts w:ascii="Arial" w:eastAsia="Times New Roman" w:hAnsi="Arial" w:cs="Arial"/>
          <w:color w:val="000000" w:themeColor="text1"/>
        </w:rPr>
        <w:t>“</w:t>
      </w:r>
      <w:r w:rsidR="36E85865" w:rsidRPr="0081375C">
        <w:rPr>
          <w:rFonts w:ascii="Arial" w:eastAsia="Arial" w:hAnsi="Arial" w:cs="Arial"/>
          <w:i/>
          <w:iCs/>
        </w:rPr>
        <w:t>Transferencia del Sector Eléctrico.</w:t>
      </w:r>
      <w:r w:rsidR="36E85865" w:rsidRPr="0081375C">
        <w:rPr>
          <w:rFonts w:ascii="Arial" w:eastAsia="Arial" w:hAnsi="Arial" w:cs="Arial"/>
        </w:rPr>
        <w:t xml:space="preserve"> Las empresas generadoras de energía hidroeléctrica cuya potencia nominal instalada total supere los 10.000 kilovatios, transferirán el 6% de las ventas brutas de energía por generación propia de acuerdo con la tarifa que para ventas en bloque señale la Comisión de Regulación Energética</w:t>
      </w:r>
      <w:r w:rsidR="17506B60" w:rsidRPr="0081375C">
        <w:rPr>
          <w:rFonts w:ascii="Arial" w:hAnsi="Arial"/>
          <w:i/>
        </w:rPr>
        <w:t>”</w:t>
      </w:r>
      <w:r w:rsidR="0081433B" w:rsidRPr="0081375C">
        <w:rPr>
          <w:rFonts w:ascii="Arial" w:hAnsi="Arial"/>
          <w:i/>
        </w:rPr>
        <w:t>.</w:t>
      </w:r>
    </w:p>
    <w:p w14:paraId="29479A84" w14:textId="6B55435E" w:rsidR="73B1F9B5" w:rsidRPr="0081375C" w:rsidRDefault="73B1F9B5" w:rsidP="00B80DE7">
      <w:pPr>
        <w:spacing w:line="23" w:lineRule="atLeast"/>
        <w:jc w:val="both"/>
        <w:rPr>
          <w:rFonts w:ascii="Arial" w:eastAsia="Times New Roman" w:hAnsi="Arial" w:cs="Arial"/>
          <w:i/>
          <w:iCs/>
          <w:color w:val="000000" w:themeColor="text1"/>
        </w:rPr>
      </w:pPr>
    </w:p>
    <w:p w14:paraId="475E0CC4" w14:textId="700C4C3D" w:rsidR="0B37C58C" w:rsidRPr="0081375C" w:rsidRDefault="0B37C58C" w:rsidP="00B80DE7">
      <w:pPr>
        <w:spacing w:line="259" w:lineRule="auto"/>
        <w:jc w:val="both"/>
        <w:rPr>
          <w:rFonts w:ascii="Arial" w:eastAsia="Arial" w:hAnsi="Arial" w:cs="Arial"/>
        </w:rPr>
      </w:pPr>
      <w:r w:rsidRPr="0081375C">
        <w:rPr>
          <w:rFonts w:ascii="Arial" w:eastAsia="Arial" w:hAnsi="Arial" w:cs="Arial"/>
          <w:color w:val="000000" w:themeColor="text1"/>
        </w:rPr>
        <w:t>A su vez,</w:t>
      </w:r>
      <w:r w:rsidR="2BA61C10" w:rsidRPr="0081375C">
        <w:rPr>
          <w:rFonts w:ascii="Arial" w:eastAsia="Arial" w:hAnsi="Arial" w:cs="Arial"/>
          <w:color w:val="000000" w:themeColor="text1"/>
        </w:rPr>
        <w:t xml:space="preserve"> </w:t>
      </w:r>
      <w:r w:rsidR="64DEAD48" w:rsidRPr="0081375C">
        <w:rPr>
          <w:rFonts w:ascii="Arial" w:eastAsia="Arial" w:hAnsi="Arial" w:cs="Arial"/>
          <w:color w:val="000000" w:themeColor="text1"/>
        </w:rPr>
        <w:t xml:space="preserve">el artículo </w:t>
      </w:r>
      <w:r w:rsidR="26C96FCF" w:rsidRPr="0081375C">
        <w:rPr>
          <w:rFonts w:ascii="Arial" w:eastAsia="Arial" w:hAnsi="Arial" w:cs="Arial"/>
        </w:rPr>
        <w:t>108</w:t>
      </w:r>
      <w:r w:rsidR="0081433B" w:rsidRPr="0081375C">
        <w:rPr>
          <w:rFonts w:ascii="Arial" w:eastAsia="Arial" w:hAnsi="Arial" w:cs="Arial"/>
        </w:rPr>
        <w:t xml:space="preserve">, </w:t>
      </w:r>
      <w:r w:rsidR="00A6646E" w:rsidRPr="0081375C">
        <w:rPr>
          <w:rFonts w:ascii="Arial" w:hAnsi="Arial"/>
        </w:rPr>
        <w:t>d</w:t>
      </w:r>
      <w:r w:rsidR="2985D293" w:rsidRPr="0081375C">
        <w:rPr>
          <w:rFonts w:ascii="Arial" w:eastAsia="Arial" w:hAnsi="Arial" w:cs="Arial"/>
        </w:rPr>
        <w:t xml:space="preserve">e la </w:t>
      </w:r>
      <w:r w:rsidR="00DE1A75" w:rsidRPr="0081375C">
        <w:rPr>
          <w:rFonts w:ascii="Arial" w:eastAsia="Arial" w:hAnsi="Arial" w:cs="Arial"/>
        </w:rPr>
        <w:t>L</w:t>
      </w:r>
      <w:r w:rsidR="2985D293" w:rsidRPr="0081375C">
        <w:rPr>
          <w:rFonts w:ascii="Arial" w:eastAsia="Arial" w:hAnsi="Arial" w:cs="Arial"/>
        </w:rPr>
        <w:t>ey 99 de 1993, que establece la</w:t>
      </w:r>
      <w:r w:rsidR="26C96FCF" w:rsidRPr="0081375C">
        <w:rPr>
          <w:rFonts w:ascii="Arial" w:eastAsia="Arial" w:hAnsi="Arial" w:cs="Arial"/>
        </w:rPr>
        <w:t xml:space="preserve"> Adquisición por la Nación de Áreas o Ecosistemas de Interés Estratégico para la Conservación de los Recursos Naturales</w:t>
      </w:r>
      <w:r w:rsidR="215D320D" w:rsidRPr="0081375C">
        <w:rPr>
          <w:rFonts w:ascii="Arial" w:eastAsia="Arial" w:hAnsi="Arial" w:cs="Arial"/>
        </w:rPr>
        <w:t>,</w:t>
      </w:r>
      <w:r w:rsidR="21F7CF66" w:rsidRPr="0081375C">
        <w:rPr>
          <w:rFonts w:ascii="Arial" w:eastAsia="Arial" w:hAnsi="Arial" w:cs="Arial"/>
        </w:rPr>
        <w:t xml:space="preserve"> que fue </w:t>
      </w:r>
      <w:r w:rsidR="58F26756" w:rsidRPr="0081375C">
        <w:rPr>
          <w:rFonts w:ascii="Arial" w:eastAsia="Arial" w:hAnsi="Arial" w:cs="Arial"/>
        </w:rPr>
        <w:t xml:space="preserve">Modificado por el art. 174 de la Ley 1753 de 2015, menciona en su </w:t>
      </w:r>
      <w:r w:rsidR="60F0FC00" w:rsidRPr="0081375C">
        <w:rPr>
          <w:rFonts w:ascii="Arial" w:eastAsia="Arial" w:hAnsi="Arial" w:cs="Arial"/>
        </w:rPr>
        <w:t>parágrafo</w:t>
      </w:r>
      <w:r w:rsidR="58F26756" w:rsidRPr="0081375C">
        <w:rPr>
          <w:rFonts w:ascii="Arial" w:eastAsia="Arial" w:hAnsi="Arial" w:cs="Arial"/>
        </w:rPr>
        <w:t xml:space="preserve"> 1°. “Los esquemas de pago por servicios ambientales de que trata el presente artículo, además podrán ser financiados con recursos provenientes de los artículos 43 y 45 de la Ley 99 de 1993, de conformidad con el plan de ordenación y manejo de la cuenca respectiva. Así mismo, podrá aplicarse la inversión forzosa de que trata el parágrafo 1° </w:t>
      </w:r>
      <w:r w:rsidR="58F26756" w:rsidRPr="0081375C">
        <w:rPr>
          <w:rFonts w:ascii="Arial" w:eastAsia="Arial" w:hAnsi="Arial" w:cs="Arial"/>
        </w:rPr>
        <w:lastRenderedPageBreak/>
        <w:t xml:space="preserve">del artículo 43, las compensaciones por pérdida de biodiversidad en el marco de la licencia ambiental y el Certificado de Incentivo Forestal con fines de conservación a que se refiere </w:t>
      </w:r>
      <w:r w:rsidR="59F80A8E" w:rsidRPr="0081375C">
        <w:rPr>
          <w:rFonts w:ascii="Arial" w:eastAsia="Arial" w:hAnsi="Arial" w:cs="Arial"/>
        </w:rPr>
        <w:t>el Estatuto</w:t>
      </w:r>
      <w:r w:rsidR="58F26756" w:rsidRPr="0081375C">
        <w:rPr>
          <w:rFonts w:ascii="Arial" w:eastAsia="Arial" w:hAnsi="Arial" w:cs="Arial"/>
        </w:rPr>
        <w:t xml:space="preserve"> Tributario</w:t>
      </w:r>
      <w:r w:rsidR="11885FC7" w:rsidRPr="0081375C">
        <w:rPr>
          <w:rFonts w:ascii="Arial" w:eastAsia="Times New Roman" w:hAnsi="Arial" w:cs="Arial"/>
          <w:color w:val="000000" w:themeColor="text1"/>
        </w:rPr>
        <w:t xml:space="preserve"> y sus modificaciones</w:t>
      </w:r>
      <w:r w:rsidR="58F26756" w:rsidRPr="0081375C">
        <w:rPr>
          <w:rFonts w:ascii="Arial" w:eastAsia="Arial" w:hAnsi="Arial" w:cs="Arial"/>
        </w:rPr>
        <w:t>.</w:t>
      </w:r>
      <w:r w:rsidR="58F26756" w:rsidRPr="0081375C">
        <w:rPr>
          <w:rFonts w:ascii="Arial" w:eastAsia="Arial" w:hAnsi="Arial" w:cs="Arial"/>
          <w:i/>
          <w:iCs/>
          <w:color w:val="000000" w:themeColor="text1"/>
        </w:rPr>
        <w:t>"</w:t>
      </w:r>
      <w:r w:rsidR="66892022" w:rsidRPr="0081375C">
        <w:rPr>
          <w:rFonts w:ascii="Arial" w:eastAsia="Arial" w:hAnsi="Arial" w:cs="Arial"/>
          <w:i/>
          <w:iCs/>
          <w:color w:val="000000" w:themeColor="text1"/>
        </w:rPr>
        <w:t xml:space="preserve"> </w:t>
      </w:r>
      <w:r w:rsidR="064ECFB4" w:rsidRPr="0081375C">
        <w:rPr>
          <w:rFonts w:ascii="Arial" w:eastAsia="Arial" w:hAnsi="Arial" w:cs="Arial"/>
          <w:i/>
          <w:iCs/>
          <w:color w:val="000000" w:themeColor="text1"/>
        </w:rPr>
        <w:t xml:space="preserve"> </w:t>
      </w:r>
    </w:p>
    <w:p w14:paraId="729B26A6" w14:textId="77777777" w:rsidR="0066672A" w:rsidRPr="0081375C" w:rsidRDefault="0066672A" w:rsidP="0081433B">
      <w:pPr>
        <w:spacing w:line="23" w:lineRule="atLeast"/>
        <w:jc w:val="both"/>
        <w:rPr>
          <w:rFonts w:ascii="Arial" w:eastAsia="Times New Roman" w:hAnsi="Arial" w:cs="Arial"/>
          <w:color w:val="000000" w:themeColor="text1"/>
        </w:rPr>
      </w:pPr>
    </w:p>
    <w:p w14:paraId="0B35237D" w14:textId="3DBD4FBB" w:rsidR="00CD651A" w:rsidRPr="0081375C" w:rsidRDefault="00806784" w:rsidP="003F6B53">
      <w:pPr>
        <w:spacing w:line="23" w:lineRule="atLeast"/>
        <w:jc w:val="both"/>
        <w:rPr>
          <w:rFonts w:ascii="Arial" w:eastAsia="Times New Roman" w:hAnsi="Arial" w:cs="Arial"/>
          <w:color w:val="000000" w:themeColor="text1"/>
        </w:rPr>
      </w:pPr>
      <w:r w:rsidRPr="0081375C">
        <w:rPr>
          <w:rFonts w:ascii="Arial" w:eastAsia="Times New Roman" w:hAnsi="Arial" w:cs="Arial"/>
          <w:color w:val="000000" w:themeColor="text1"/>
        </w:rPr>
        <w:t>De esta forma, el fundamento legal para la financiación de esquemas de Pago por Servicios Ambientales (PSA), especialmente en la modalidad de conservación de la biodiversidad, se encuentra contenido en el artículo 108 de la Ley 99 de 1993, modificado por el artículo 174 de la Ley 1753 de 2015, “</w:t>
      </w:r>
      <w:r w:rsidR="53ABCE9C" w:rsidRPr="0081375C">
        <w:rPr>
          <w:rFonts w:ascii="Arial" w:eastAsia="Times New Roman" w:hAnsi="Arial" w:cs="Arial"/>
          <w:color w:val="000000" w:themeColor="text1"/>
        </w:rPr>
        <w:t>P</w:t>
      </w:r>
      <w:r w:rsidR="330D7777" w:rsidRPr="0081375C">
        <w:rPr>
          <w:rFonts w:ascii="Arial" w:eastAsia="Times New Roman" w:hAnsi="Arial" w:cs="Arial"/>
          <w:color w:val="000000" w:themeColor="text1"/>
        </w:rPr>
        <w:t>arágrafo</w:t>
      </w:r>
      <w:r w:rsidR="53ABCE9C" w:rsidRPr="0081375C">
        <w:rPr>
          <w:rFonts w:ascii="Arial" w:eastAsia="Times New Roman" w:hAnsi="Arial" w:cs="Arial"/>
          <w:color w:val="000000" w:themeColor="text1"/>
        </w:rPr>
        <w:t xml:space="preserve"> 1°.</w:t>
      </w:r>
      <w:r w:rsidRPr="0081375C">
        <w:rPr>
          <w:rFonts w:ascii="Arial" w:eastAsia="Times New Roman" w:hAnsi="Arial" w:cs="Arial"/>
          <w:color w:val="000000" w:themeColor="text1"/>
        </w:rPr>
        <w:t xml:space="preserve"> Los esquemas de pago por servicios ambientales de que trata el presente artículo además podrán ser financiados con recursos provenientes de los artículos 43 y 45 de la Ley 99 de 1993, de conformidad con el plan de ordenación y manejo de la cuenca respectiva. Así mismo, podrá aplicarse la inversión forzosa de que trata el parágrafo 1° del artículo 43, las compensaciones por pérdida de biodiversidad en el marco de la licencia ambiental y el Certificado de Incentivo Forestal con fines de conservación</w:t>
      </w:r>
      <w:r w:rsidR="21A963FD" w:rsidRPr="0081375C">
        <w:rPr>
          <w:rFonts w:ascii="Arial" w:eastAsia="Times New Roman" w:hAnsi="Arial" w:cs="Arial"/>
          <w:color w:val="000000" w:themeColor="text1"/>
        </w:rPr>
        <w:t>.</w:t>
      </w:r>
    </w:p>
    <w:p w14:paraId="024A9507" w14:textId="6E57F127" w:rsidR="729FED67" w:rsidRPr="0081375C" w:rsidRDefault="729FED67" w:rsidP="729FED67">
      <w:pPr>
        <w:spacing w:line="23" w:lineRule="atLeast"/>
        <w:jc w:val="both"/>
        <w:rPr>
          <w:rFonts w:ascii="Arial" w:eastAsia="Times New Roman" w:hAnsi="Arial" w:cs="Arial"/>
          <w:color w:val="000000" w:themeColor="text1"/>
        </w:rPr>
      </w:pPr>
    </w:p>
    <w:p w14:paraId="23E696A8" w14:textId="0F217881" w:rsidR="6B8E6244" w:rsidRPr="0081375C" w:rsidRDefault="6B8E6244" w:rsidP="729FED67">
      <w:pPr>
        <w:spacing w:line="23" w:lineRule="atLeast"/>
        <w:jc w:val="both"/>
        <w:rPr>
          <w:rFonts w:ascii="Arial" w:eastAsia="Times New Roman" w:hAnsi="Arial" w:cs="Arial"/>
          <w:color w:val="000000" w:themeColor="text1"/>
        </w:rPr>
      </w:pPr>
      <w:r w:rsidRPr="0081375C">
        <w:rPr>
          <w:rFonts w:ascii="Arial" w:eastAsia="Times New Roman" w:hAnsi="Arial" w:cs="Arial"/>
          <w:color w:val="000000" w:themeColor="text1"/>
        </w:rPr>
        <w:t xml:space="preserve">En </w:t>
      </w:r>
      <w:r w:rsidR="5A5FAFA6" w:rsidRPr="0081375C">
        <w:rPr>
          <w:rFonts w:ascii="Arial" w:eastAsia="Times New Roman" w:hAnsi="Arial" w:cs="Arial"/>
          <w:color w:val="000000" w:themeColor="text1"/>
        </w:rPr>
        <w:t>consonancia</w:t>
      </w:r>
      <w:r w:rsidRPr="0081375C">
        <w:rPr>
          <w:rFonts w:ascii="Arial" w:eastAsia="Times New Roman" w:hAnsi="Arial" w:cs="Arial"/>
          <w:color w:val="000000" w:themeColor="text1"/>
        </w:rPr>
        <w:t xml:space="preserve"> con lo mencionado anteriormente, el decreto distrital 774 de 2024, en </w:t>
      </w:r>
      <w:r w:rsidR="7289F8D1" w:rsidRPr="0081375C">
        <w:rPr>
          <w:rFonts w:ascii="Arial" w:eastAsia="Times New Roman" w:hAnsi="Arial" w:cs="Arial"/>
          <w:color w:val="000000" w:themeColor="text1"/>
        </w:rPr>
        <w:t>su artículo</w:t>
      </w:r>
      <w:r w:rsidRPr="0081375C">
        <w:rPr>
          <w:rFonts w:ascii="Arial" w:eastAsia="Times New Roman" w:hAnsi="Arial" w:cs="Arial"/>
          <w:color w:val="000000" w:themeColor="text1"/>
        </w:rPr>
        <w:t xml:space="preserve"> 2.4.1.13. menciona las Fuentes de </w:t>
      </w:r>
      <w:r w:rsidR="2BE56B74" w:rsidRPr="0081375C">
        <w:rPr>
          <w:rFonts w:ascii="Arial" w:eastAsia="Times New Roman" w:hAnsi="Arial" w:cs="Arial"/>
          <w:color w:val="000000" w:themeColor="text1"/>
        </w:rPr>
        <w:t>financiación decreto el cual será desarrollado más adelante.</w:t>
      </w:r>
    </w:p>
    <w:p w14:paraId="6D6A2AE9" w14:textId="3731D1B3" w:rsidR="729FED67" w:rsidRPr="0081375C" w:rsidRDefault="729FED67" w:rsidP="729FED67">
      <w:pPr>
        <w:spacing w:line="23" w:lineRule="atLeast"/>
        <w:jc w:val="both"/>
        <w:rPr>
          <w:rFonts w:ascii="Arial" w:eastAsia="Times New Roman" w:hAnsi="Arial" w:cs="Arial"/>
          <w:color w:val="000000" w:themeColor="text1"/>
        </w:rPr>
      </w:pPr>
    </w:p>
    <w:p w14:paraId="43B19E50" w14:textId="3C12CC37" w:rsidR="00825D4D" w:rsidRPr="0081375C" w:rsidRDefault="00806784">
      <w:pPr>
        <w:pStyle w:val="Ttulo2"/>
        <w:numPr>
          <w:ilvl w:val="1"/>
          <w:numId w:val="14"/>
        </w:numPr>
        <w:spacing w:before="0" w:line="23" w:lineRule="atLeast"/>
        <w:rPr>
          <w:rFonts w:ascii="Arial" w:eastAsia="Aptos" w:hAnsi="Arial" w:cs="Arial"/>
          <w:bCs/>
          <w:color w:val="000000" w:themeColor="text1"/>
        </w:rPr>
      </w:pPr>
      <w:bookmarkStart w:id="9" w:name="_Toc232154403"/>
      <w:bookmarkStart w:id="10" w:name="_Toc233304164"/>
      <w:r w:rsidRPr="0081375C">
        <w:rPr>
          <w:rFonts w:ascii="Arial" w:eastAsia="Aptos" w:hAnsi="Arial" w:cs="Arial"/>
          <w:bCs/>
          <w:color w:val="000000" w:themeColor="text1"/>
        </w:rPr>
        <w:t>Marco Jurídico en el Distrito de Medellín</w:t>
      </w:r>
      <w:bookmarkEnd w:id="9"/>
      <w:bookmarkEnd w:id="10"/>
    </w:p>
    <w:p w14:paraId="45DBF75C" w14:textId="77777777" w:rsidR="00CD651A" w:rsidRPr="0081375C" w:rsidRDefault="00CD651A" w:rsidP="00CD651A">
      <w:pPr>
        <w:rPr>
          <w:rFonts w:ascii="Arial" w:hAnsi="Arial" w:cs="Arial"/>
        </w:rPr>
      </w:pPr>
    </w:p>
    <w:p w14:paraId="4B2B9193"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el ámbito distrital, el PSA está integrado como un instrumento del Plan de Ordenamiento Territorial (POT), conforme al Acuerdo 48 de 2014. En este contexto, el citado Acuerdo 48 de 2014 incorpora el Pago por Servicios Ambientales en su artículo 527 como un instrumento de incentivos y compensaciones económicas orientado a mitigar las cargas derivadas de la conservación ambiental, promoviendo beneficios mutuos que favorezcan prácticas sostenibles del uso del suelo y la protección de la estructura ecológica principal del municipio.</w:t>
      </w:r>
    </w:p>
    <w:p w14:paraId="6F5989C5" w14:textId="77777777" w:rsidR="00CD651A" w:rsidRPr="0081375C" w:rsidRDefault="00CD651A" w:rsidP="003F6B53">
      <w:pPr>
        <w:spacing w:line="23" w:lineRule="atLeast"/>
        <w:jc w:val="both"/>
        <w:rPr>
          <w:rFonts w:ascii="Arial" w:eastAsia="Aptos" w:hAnsi="Arial" w:cs="Arial"/>
          <w:color w:val="000000" w:themeColor="text1"/>
        </w:rPr>
      </w:pPr>
    </w:p>
    <w:p w14:paraId="03D9A1A5"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hAnsi="Arial"/>
          <w:color w:val="000000" w:themeColor="text1"/>
        </w:rPr>
        <w:t>Asimismo, el artículo 528 del mismo Acuerdo establece dos modalidades de PSA a ser implementadas en el municipio: (i) aquellas asociadas a servicios ambientales hidrológicos y (</w:t>
      </w:r>
      <w:proofErr w:type="spellStart"/>
      <w:r w:rsidRPr="0081375C">
        <w:rPr>
          <w:rFonts w:ascii="Arial" w:hAnsi="Arial"/>
          <w:color w:val="000000" w:themeColor="text1"/>
        </w:rPr>
        <w:t>ii</w:t>
      </w:r>
      <w:proofErr w:type="spellEnd"/>
      <w:r w:rsidRPr="0081375C">
        <w:rPr>
          <w:rFonts w:ascii="Arial" w:hAnsi="Arial"/>
          <w:color w:val="000000" w:themeColor="text1"/>
        </w:rPr>
        <w:t>) aquellas relacionadas con otros servicios ambientales.</w:t>
      </w:r>
    </w:p>
    <w:p w14:paraId="048A9ED2" w14:textId="77777777" w:rsidR="00CD651A" w:rsidRPr="0081375C" w:rsidRDefault="00CD651A" w:rsidP="003F6B53">
      <w:pPr>
        <w:spacing w:line="23" w:lineRule="atLeast"/>
        <w:jc w:val="both"/>
        <w:rPr>
          <w:rFonts w:ascii="Arial" w:eastAsia="Aptos" w:hAnsi="Arial" w:cs="Arial"/>
          <w:color w:val="000000" w:themeColor="text1"/>
        </w:rPr>
      </w:pPr>
    </w:p>
    <w:p w14:paraId="57FE8CC4"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La evolución de su reglamentación municipal es la siguiente:</w:t>
      </w:r>
    </w:p>
    <w:p w14:paraId="53EE2889" w14:textId="77777777" w:rsidR="00CD651A" w:rsidRPr="0081375C" w:rsidRDefault="00CD651A" w:rsidP="003F6B53">
      <w:pPr>
        <w:spacing w:line="23" w:lineRule="atLeast"/>
        <w:jc w:val="both"/>
        <w:rPr>
          <w:rFonts w:ascii="Arial" w:eastAsia="Aptos" w:hAnsi="Arial" w:cs="Arial"/>
          <w:color w:val="000000" w:themeColor="text1"/>
        </w:rPr>
      </w:pPr>
    </w:p>
    <w:p w14:paraId="3566A06E"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Antecedentes: Decretos Municipales 1910 de 2016 y 602 de 2018.</w:t>
      </w:r>
    </w:p>
    <w:p w14:paraId="4A71D6F7" w14:textId="77777777" w:rsidR="00CD651A" w:rsidRPr="0081375C" w:rsidRDefault="00CD651A" w:rsidP="003F6B53">
      <w:pPr>
        <w:spacing w:line="23" w:lineRule="atLeast"/>
        <w:jc w:val="both"/>
        <w:rPr>
          <w:rFonts w:ascii="Arial" w:eastAsia="Aptos" w:hAnsi="Arial" w:cs="Arial"/>
          <w:color w:val="000000" w:themeColor="text1"/>
        </w:rPr>
      </w:pPr>
    </w:p>
    <w:p w14:paraId="5DE370A6" w14:textId="16AAE279"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Normativa Vigente: Decreto Distrital 1114 de 2023, el cual derogó los anteriores y actualizó la regulación del instrumento. Posteriormente, el Distrito Especial de Medellín expidió el Decreto 774 de 2024, “por medio del cual se adopta el Decreto Único de Medio Ambiente del Distrito de Medellín”, en cuyo Título 4, Capítulo 1, artículos 2.4.1.1 a 2.4.1.21, se desarrolla el marco normativo aplicable al Pago por Servicios Ambientales en la jurisdicción distrital. </w:t>
      </w:r>
    </w:p>
    <w:p w14:paraId="0D3EACC3" w14:textId="77777777" w:rsidR="00CD651A" w:rsidRPr="0081375C" w:rsidRDefault="00CD651A" w:rsidP="003F6B53">
      <w:pPr>
        <w:spacing w:line="23" w:lineRule="atLeast"/>
        <w:jc w:val="both"/>
        <w:rPr>
          <w:rFonts w:ascii="Arial" w:eastAsia="Aptos" w:hAnsi="Arial" w:cs="Arial"/>
          <w:color w:val="000000" w:themeColor="text1"/>
        </w:rPr>
      </w:pPr>
    </w:p>
    <w:p w14:paraId="4374D5CD" w14:textId="6182F7A6" w:rsidR="00825D4D" w:rsidRPr="0081375C" w:rsidRDefault="64151C77"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Durante años anteriores</w:t>
      </w:r>
      <w:r w:rsidR="00806784" w:rsidRPr="0081375C">
        <w:rPr>
          <w:rFonts w:ascii="Arial" w:eastAsia="Aptos" w:hAnsi="Arial" w:cs="Arial"/>
          <w:color w:val="000000" w:themeColor="text1"/>
        </w:rPr>
        <w:t xml:space="preserve">, la Secretaría de Medio Ambiente de Medellín centró el PSA en la regulación y calidad hídrica. </w:t>
      </w:r>
      <w:r w:rsidR="00153F95" w:rsidRPr="0081375C">
        <w:rPr>
          <w:rFonts w:ascii="Arial" w:eastAsia="Aptos" w:hAnsi="Arial" w:cs="Arial"/>
          <w:color w:val="000000" w:themeColor="text1"/>
        </w:rPr>
        <w:t>No obstante, de conformidad con lo establecido en el Decreto Ley 870 de 2017, reglamentado por el Decreto 1007 de 2018, los esquemas de Pago por Servicios Ambientales (PSA) se estructuran a partir de los servicios ambientales que se pretende conservar, recuperar o fortalecer</w:t>
      </w:r>
      <w:r w:rsidR="20D0B9C3" w:rsidRPr="0081375C">
        <w:rPr>
          <w:rFonts w:ascii="Arial" w:eastAsia="Aptos" w:hAnsi="Arial" w:cs="Arial"/>
          <w:color w:val="000000" w:themeColor="text1"/>
        </w:rPr>
        <w:t>, sin perjuicio de incluir aquellas modalidades que se adopten por el Plan Nacional de Desarrollo y/o en la norma que lo modifique, complemente o sustituya y el artículo 528 del Acuerdo Municipal 48 de 2014, estas modalidades son</w:t>
      </w:r>
      <w:r w:rsidR="0CB2C492" w:rsidRPr="0081375C">
        <w:rPr>
          <w:rFonts w:ascii="Arial" w:eastAsia="Aptos" w:hAnsi="Arial" w:cs="Arial"/>
          <w:color w:val="000000" w:themeColor="text1"/>
        </w:rPr>
        <w:t>:</w:t>
      </w:r>
    </w:p>
    <w:p w14:paraId="34EB164D" w14:textId="77777777" w:rsidR="00CD651A" w:rsidRPr="0081375C" w:rsidRDefault="00CD651A" w:rsidP="003F6B53">
      <w:pPr>
        <w:spacing w:line="23" w:lineRule="atLeast"/>
        <w:jc w:val="both"/>
        <w:rPr>
          <w:rFonts w:ascii="Arial" w:eastAsia="Aptos" w:hAnsi="Arial" w:cs="Arial"/>
          <w:color w:val="000000" w:themeColor="text1"/>
        </w:rPr>
      </w:pPr>
    </w:p>
    <w:p w14:paraId="161084AB" w14:textId="5A057F8D" w:rsidR="00825D4D" w:rsidRPr="0081375C" w:rsidRDefault="00806784">
      <w:pPr>
        <w:pStyle w:val="Prrafodelista"/>
        <w:numPr>
          <w:ilvl w:val="0"/>
          <w:numId w:val="17"/>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Regulación y calidad hídrica.</w:t>
      </w:r>
    </w:p>
    <w:p w14:paraId="12BE4068" w14:textId="3EBEF3A4" w:rsidR="00825D4D" w:rsidRPr="0081375C" w:rsidRDefault="00806784">
      <w:pPr>
        <w:pStyle w:val="Prrafodelista"/>
        <w:numPr>
          <w:ilvl w:val="0"/>
          <w:numId w:val="17"/>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Conservación de la biodiversidad.</w:t>
      </w:r>
    </w:p>
    <w:p w14:paraId="27B996AC" w14:textId="1DBC1FBA" w:rsidR="00825D4D" w:rsidRPr="0081375C" w:rsidRDefault="00806784">
      <w:pPr>
        <w:pStyle w:val="Prrafodelista"/>
        <w:numPr>
          <w:ilvl w:val="0"/>
          <w:numId w:val="17"/>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Reducción y captura de Gases de Efecto Invernadero (GEI).</w:t>
      </w:r>
    </w:p>
    <w:p w14:paraId="4E51161F" w14:textId="6C147286" w:rsidR="00825D4D" w:rsidRPr="0081375C" w:rsidRDefault="00806784">
      <w:pPr>
        <w:pStyle w:val="Prrafodelista"/>
        <w:numPr>
          <w:ilvl w:val="0"/>
          <w:numId w:val="17"/>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Servicios culturales, espirituales y recreativos.</w:t>
      </w:r>
    </w:p>
    <w:p w14:paraId="2945A35D" w14:textId="77777777" w:rsidR="00CD651A" w:rsidRPr="0081375C" w:rsidRDefault="00CD651A" w:rsidP="00CF0F21">
      <w:pPr>
        <w:spacing w:line="23" w:lineRule="atLeast"/>
        <w:jc w:val="both"/>
        <w:rPr>
          <w:rFonts w:ascii="Arial" w:eastAsia="Aptos" w:hAnsi="Arial" w:cs="Arial"/>
          <w:color w:val="000000" w:themeColor="text1"/>
        </w:rPr>
      </w:pPr>
    </w:p>
    <w:p w14:paraId="139D2E5D" w14:textId="0BCA9450" w:rsidR="00D36165" w:rsidRPr="0081375C" w:rsidRDefault="00D36165" w:rsidP="00D36165">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el ámbito distrital, el Decreto 774 de 2024, compilatorio del Decreto 1114 de 2023, adopta estas modalidades y establece los lineamientos para su implementación en el Distrito Especial de Medellín. De igual manera, el Decreto 1998 de 2023 desarrolla mecanismos específicos asociados a los Pagos por Servicios Ambientales para la Paz y a los incentivos para la conservación en áreas de dominio público, ampliando los instrumentos de aplicación del PSA sin crear nuevas modalidades generales. No obstante, considerando el carácter dinámico de los servicios ecosistémicos, la evolución del conocimiento técnico y científico, y las necesidades de gestión ambiental del territorio, podrán diseñarse, desarrollarse e implementarse nuevas modalidades o mecanismos específicos de PSA, siempre que estos se encuentren sustentados en estudios técnicos, análisis de pertinencia ambiental, social y económica, y en las disposiciones normativas que los adopten o reglamenten, garantizando su articulación con los instrumentos de planificación ambiental y territorial vigentes.</w:t>
      </w:r>
    </w:p>
    <w:p w14:paraId="1E993FF3" w14:textId="77777777" w:rsidR="00A75C6A" w:rsidRPr="0081375C" w:rsidRDefault="00A75C6A" w:rsidP="00D36165">
      <w:pPr>
        <w:spacing w:line="23" w:lineRule="atLeast"/>
        <w:jc w:val="both"/>
        <w:rPr>
          <w:rFonts w:ascii="Arial" w:eastAsia="Aptos" w:hAnsi="Arial" w:cs="Arial"/>
          <w:color w:val="000000" w:themeColor="text1"/>
        </w:rPr>
      </w:pPr>
    </w:p>
    <w:p w14:paraId="2A9DBB17" w14:textId="1C31BB8C" w:rsidR="005243E0" w:rsidRPr="0081375C" w:rsidRDefault="00C53781" w:rsidP="005243E0">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cuanto a las zonas de recarga de acuíferos, e</w:t>
      </w:r>
      <w:r w:rsidR="005243E0" w:rsidRPr="0081375C">
        <w:rPr>
          <w:rFonts w:ascii="Arial" w:eastAsia="Aptos" w:hAnsi="Arial" w:cs="Arial"/>
          <w:color w:val="000000" w:themeColor="text1"/>
        </w:rPr>
        <w:t>n la normativa de Pago por Servicios Ambientales (PSA)</w:t>
      </w:r>
      <w:r w:rsidRPr="0081375C">
        <w:rPr>
          <w:rFonts w:ascii="Arial" w:eastAsia="Aptos" w:hAnsi="Arial" w:cs="Arial"/>
          <w:color w:val="000000" w:themeColor="text1"/>
        </w:rPr>
        <w:t>,</w:t>
      </w:r>
      <w:r w:rsidR="005243E0" w:rsidRPr="0081375C">
        <w:rPr>
          <w:rFonts w:ascii="Arial" w:eastAsia="Aptos" w:hAnsi="Arial" w:cs="Arial"/>
          <w:color w:val="000000" w:themeColor="text1"/>
        </w:rPr>
        <w:t xml:space="preserve"> </w:t>
      </w:r>
      <w:r w:rsidRPr="0081375C">
        <w:rPr>
          <w:rFonts w:ascii="Arial" w:eastAsia="Aptos" w:hAnsi="Arial" w:cs="Arial"/>
          <w:color w:val="000000" w:themeColor="text1"/>
        </w:rPr>
        <w:t>estas zonas no</w:t>
      </w:r>
      <w:r w:rsidR="005243E0" w:rsidRPr="0081375C">
        <w:rPr>
          <w:rFonts w:ascii="Arial" w:eastAsia="Aptos" w:hAnsi="Arial" w:cs="Arial"/>
          <w:color w:val="000000" w:themeColor="text1"/>
        </w:rPr>
        <w:t xml:space="preserve"> aparece</w:t>
      </w:r>
      <w:r w:rsidRPr="0081375C">
        <w:rPr>
          <w:rFonts w:ascii="Arial" w:eastAsia="Aptos" w:hAnsi="Arial" w:cs="Arial"/>
          <w:color w:val="000000" w:themeColor="text1"/>
        </w:rPr>
        <w:t>n</w:t>
      </w:r>
      <w:r w:rsidR="005243E0" w:rsidRPr="0081375C">
        <w:rPr>
          <w:rFonts w:ascii="Arial" w:eastAsia="Aptos" w:hAnsi="Arial" w:cs="Arial"/>
          <w:color w:val="000000" w:themeColor="text1"/>
        </w:rPr>
        <w:t xml:space="preserve"> como una modalidad independiente, sino como parte de las áreas y ecosistemas estratégicos para la conservación del recurso hídrico, donde pueden implementarse esquemas de PSA.</w:t>
      </w:r>
      <w:r w:rsidRPr="0081375C">
        <w:rPr>
          <w:rFonts w:ascii="Arial" w:eastAsia="Aptos" w:hAnsi="Arial" w:cs="Arial"/>
          <w:color w:val="000000" w:themeColor="text1"/>
        </w:rPr>
        <w:t xml:space="preserve"> </w:t>
      </w:r>
    </w:p>
    <w:p w14:paraId="19B7B7DE" w14:textId="77777777" w:rsidR="00A75C6A" w:rsidRPr="0081375C" w:rsidRDefault="00A75C6A" w:rsidP="00D36165">
      <w:pPr>
        <w:spacing w:line="23" w:lineRule="atLeast"/>
        <w:jc w:val="both"/>
        <w:rPr>
          <w:rFonts w:ascii="Arial" w:eastAsia="Aptos" w:hAnsi="Arial" w:cs="Arial"/>
          <w:color w:val="000000" w:themeColor="text1"/>
        </w:rPr>
      </w:pPr>
    </w:p>
    <w:p w14:paraId="547079E6" w14:textId="77777777" w:rsidR="007E10B7" w:rsidRPr="0081375C" w:rsidRDefault="007E10B7" w:rsidP="007E10B7">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el caso del Valle de Aburrá, la referencia más explícita suele encontrarse en instrumentos de planificación ambiental como:</w:t>
      </w:r>
    </w:p>
    <w:p w14:paraId="7A0157EC" w14:textId="77777777" w:rsidR="007E10B7" w:rsidRPr="0081375C" w:rsidRDefault="007E10B7" w:rsidP="007E10B7">
      <w:pPr>
        <w:numPr>
          <w:ilvl w:val="0"/>
          <w:numId w:val="29"/>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POMCA del río Aburrá-Medellín.</w:t>
      </w:r>
    </w:p>
    <w:p w14:paraId="5C852D97" w14:textId="7454BFBC" w:rsidR="007E10B7" w:rsidRPr="0081375C" w:rsidRDefault="007E10B7" w:rsidP="000C235A">
      <w:pPr>
        <w:numPr>
          <w:ilvl w:val="0"/>
          <w:numId w:val="29"/>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Plan de Manejo Ambiental del Acuífero del Valle de Aburrá (PMAA)</w:t>
      </w:r>
      <w:r w:rsidR="008E1C85" w:rsidRPr="0081375C">
        <w:rPr>
          <w:rFonts w:ascii="Arial" w:eastAsia="Aptos" w:hAnsi="Arial" w:cs="Arial"/>
          <w:color w:val="000000" w:themeColor="text1"/>
        </w:rPr>
        <w:t xml:space="preserve"> (</w:t>
      </w:r>
      <w:r w:rsidRPr="0081375C">
        <w:rPr>
          <w:rFonts w:ascii="Arial" w:eastAsia="Aptos" w:hAnsi="Arial" w:cs="Arial"/>
          <w:color w:val="000000" w:themeColor="text1"/>
        </w:rPr>
        <w:t>Resolución Metropolitana 000368 de 2019</w:t>
      </w:r>
      <w:r w:rsidR="000C235A" w:rsidRPr="0081375C">
        <w:rPr>
          <w:rFonts w:ascii="Arial" w:eastAsia="Aptos" w:hAnsi="Arial" w:cs="Arial"/>
          <w:color w:val="000000" w:themeColor="text1"/>
        </w:rPr>
        <w:t>)</w:t>
      </w:r>
      <w:r w:rsidRPr="0081375C">
        <w:rPr>
          <w:rFonts w:ascii="Arial" w:eastAsia="Aptos" w:hAnsi="Arial" w:cs="Arial"/>
          <w:color w:val="000000" w:themeColor="text1"/>
        </w:rPr>
        <w:t>.</w:t>
      </w:r>
    </w:p>
    <w:p w14:paraId="270987F0" w14:textId="77777777" w:rsidR="007E10B7" w:rsidRPr="0081375C" w:rsidRDefault="007E10B7" w:rsidP="007E10B7">
      <w:pPr>
        <w:spacing w:line="23" w:lineRule="atLeast"/>
        <w:jc w:val="both"/>
        <w:rPr>
          <w:rFonts w:ascii="Arial" w:eastAsia="Aptos" w:hAnsi="Arial" w:cs="Arial"/>
          <w:color w:val="000000" w:themeColor="text1"/>
        </w:rPr>
      </w:pPr>
    </w:p>
    <w:p w14:paraId="44D64680" w14:textId="18C9DE45" w:rsidR="007E10B7" w:rsidRPr="0081375C" w:rsidRDefault="007E10B7" w:rsidP="00674DBA">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Estos instrumentos identifican las áreas de recarga de acuíferos como zonas estratégicas para la conservación y recomiendan la implementación de incentivos económicos, </w:t>
      </w:r>
      <w:r w:rsidRPr="0081375C">
        <w:rPr>
          <w:rFonts w:ascii="Arial" w:eastAsia="Aptos" w:hAnsi="Arial" w:cs="Arial"/>
          <w:color w:val="000000" w:themeColor="text1"/>
        </w:rPr>
        <w:lastRenderedPageBreak/>
        <w:t xml:space="preserve">incluyendo los Pagos por Servicios Ambientales, para promover su protección y manejo sostenible. </w:t>
      </w:r>
    </w:p>
    <w:p w14:paraId="39D5CF1E" w14:textId="77777777" w:rsidR="00674DBA" w:rsidRPr="0081375C" w:rsidRDefault="00674DBA" w:rsidP="00674DBA">
      <w:pPr>
        <w:spacing w:line="23" w:lineRule="atLeast"/>
        <w:jc w:val="both"/>
        <w:rPr>
          <w:rFonts w:ascii="Arial" w:eastAsia="Aptos" w:hAnsi="Arial" w:cs="Arial"/>
          <w:color w:val="000000" w:themeColor="text1"/>
        </w:rPr>
      </w:pPr>
    </w:p>
    <w:p w14:paraId="6B5B74B0" w14:textId="26867999" w:rsidR="007E10B7" w:rsidRPr="0081375C" w:rsidRDefault="007E10B7" w:rsidP="007E10B7">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En el marco de </w:t>
      </w:r>
      <w:r w:rsidR="00180AB3" w:rsidRPr="0081375C">
        <w:rPr>
          <w:rFonts w:ascii="Arial" w:eastAsia="Aptos" w:hAnsi="Arial" w:cs="Arial"/>
          <w:color w:val="000000" w:themeColor="text1"/>
        </w:rPr>
        <w:t xml:space="preserve">la presente guía </w:t>
      </w:r>
      <w:r w:rsidR="0034569B" w:rsidRPr="0081375C">
        <w:rPr>
          <w:rFonts w:ascii="Arial" w:eastAsia="Aptos" w:hAnsi="Arial" w:cs="Arial"/>
          <w:color w:val="000000" w:themeColor="text1"/>
        </w:rPr>
        <w:t>metodológica de PSA</w:t>
      </w:r>
      <w:r w:rsidRPr="0081375C">
        <w:rPr>
          <w:rFonts w:ascii="Arial" w:eastAsia="Aptos" w:hAnsi="Arial" w:cs="Arial"/>
          <w:color w:val="000000" w:themeColor="text1"/>
        </w:rPr>
        <w:t xml:space="preserve">, las zonas de recarga de acuíferos podrán </w:t>
      </w:r>
      <w:r w:rsidR="003E0B52" w:rsidRPr="0081375C">
        <w:rPr>
          <w:rFonts w:ascii="Arial" w:eastAsia="Aptos" w:hAnsi="Arial" w:cs="Arial"/>
          <w:color w:val="000000" w:themeColor="text1"/>
        </w:rPr>
        <w:t>son</w:t>
      </w:r>
      <w:r w:rsidRPr="0081375C">
        <w:rPr>
          <w:rFonts w:ascii="Arial" w:eastAsia="Aptos" w:hAnsi="Arial" w:cs="Arial"/>
          <w:color w:val="000000" w:themeColor="text1"/>
        </w:rPr>
        <w:t xml:space="preserve"> consideradas áreas estratégicas para la implementación de incentivos orientados a la regulación y calidad hídrica, en concordancia con lo dispuesto en el Decreto Ley 870 de 2017, el Decreto 1007 de 2018 y el artículo 111 de la Ley 99 de 1993, modificado por la Ley 2320 de 2023. </w:t>
      </w:r>
      <w:r w:rsidR="00E15F64" w:rsidRPr="0081375C">
        <w:rPr>
          <w:rFonts w:ascii="Arial" w:eastAsia="Aptos" w:hAnsi="Arial" w:cs="Arial"/>
          <w:color w:val="000000" w:themeColor="text1"/>
        </w:rPr>
        <w:t>La incorporación de este criterio en el proceso metodológico para la selección de predios participantes en el PSAH</w:t>
      </w:r>
      <w:r w:rsidRPr="0081375C">
        <w:rPr>
          <w:rFonts w:ascii="Arial" w:eastAsia="Aptos" w:hAnsi="Arial" w:cs="Arial"/>
          <w:color w:val="000000" w:themeColor="text1"/>
        </w:rPr>
        <w:t xml:space="preserve"> deberá sustentarse en los instrumentos de planificación y ordenamiento ambiental vigentes, tales como los POMCA, los Planes de Manejo Ambiental de Acuíferos y demás estudios técnicos que identifiquen su importancia para la infiltración, almacenamiento y regulación de las aguas subterráneas y superficiales</w:t>
      </w:r>
      <w:r w:rsidR="003E0B52" w:rsidRPr="0081375C">
        <w:rPr>
          <w:rFonts w:ascii="Arial" w:eastAsia="Aptos" w:hAnsi="Arial" w:cs="Arial"/>
          <w:color w:val="000000" w:themeColor="text1"/>
        </w:rPr>
        <w:t>.</w:t>
      </w:r>
    </w:p>
    <w:p w14:paraId="3B5D8447" w14:textId="77777777" w:rsidR="00CF0F21" w:rsidRPr="0081375C" w:rsidRDefault="00CF0F21" w:rsidP="00CF0F21">
      <w:pPr>
        <w:spacing w:line="23" w:lineRule="atLeast"/>
        <w:jc w:val="both"/>
        <w:rPr>
          <w:rFonts w:ascii="Arial" w:eastAsia="Aptos" w:hAnsi="Arial" w:cs="Arial"/>
          <w:color w:val="000000" w:themeColor="text1"/>
        </w:rPr>
      </w:pPr>
    </w:p>
    <w:p w14:paraId="17CA8E30"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La presente guía, agrega la modalidad de conservación de la biodiversidad, mediante el análisis de determinantes ambientales, cartografía oficial y conectividad ecológica, lo cual facilita unificar el procedimiento que se debe seguir para la implementación del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y la continuación del PSAH.</w:t>
      </w:r>
    </w:p>
    <w:p w14:paraId="58B1AEB7" w14:textId="77777777" w:rsidR="00CD651A" w:rsidRPr="0081375C" w:rsidRDefault="00CD651A" w:rsidP="003F6B53">
      <w:pPr>
        <w:spacing w:line="23" w:lineRule="atLeast"/>
        <w:jc w:val="both"/>
        <w:rPr>
          <w:rFonts w:ascii="Arial" w:eastAsia="Aptos" w:hAnsi="Arial" w:cs="Arial"/>
          <w:color w:val="000000" w:themeColor="text1"/>
        </w:rPr>
      </w:pPr>
    </w:p>
    <w:p w14:paraId="50BD82A1" w14:textId="6291A854"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Ahora bien, frente a las fuentes legales de financiación, el Decreto 774 de 2024 (septiembre 24) “Por medio del cual se expide el Decreto Único de Medio Ambiente del Distrito de Medellín</w:t>
      </w:r>
      <w:r w:rsidR="53ABCE9C" w:rsidRPr="0081375C">
        <w:rPr>
          <w:rFonts w:ascii="Arial" w:eastAsia="Aptos" w:hAnsi="Arial" w:cs="Arial"/>
          <w:color w:val="000000" w:themeColor="text1"/>
        </w:rPr>
        <w:t>”</w:t>
      </w:r>
      <w:r w:rsidRPr="0081375C">
        <w:rPr>
          <w:rFonts w:ascii="Arial" w:eastAsia="Aptos" w:hAnsi="Arial" w:cs="Arial"/>
          <w:color w:val="000000" w:themeColor="text1"/>
        </w:rPr>
        <w:t xml:space="preserve"> determina lo siguiente:</w:t>
      </w:r>
    </w:p>
    <w:p w14:paraId="160AA7FB" w14:textId="77777777" w:rsidR="00CD651A" w:rsidRPr="0081375C" w:rsidRDefault="00CD651A" w:rsidP="003F6B53">
      <w:pPr>
        <w:spacing w:line="23" w:lineRule="atLeast"/>
        <w:jc w:val="both"/>
        <w:rPr>
          <w:rFonts w:ascii="Arial" w:eastAsia="Aptos" w:hAnsi="Arial" w:cs="Arial"/>
          <w:color w:val="000000" w:themeColor="text1"/>
        </w:rPr>
      </w:pPr>
    </w:p>
    <w:p w14:paraId="43436B57"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“Artículo 2.4.1.13. Fuentes de financiación. Los Pagos por Servicios Ambientales se podrán financiar mediante las siguientes fuentes:</w:t>
      </w:r>
    </w:p>
    <w:p w14:paraId="3B5C7864" w14:textId="77777777" w:rsidR="00CD651A" w:rsidRPr="0081375C" w:rsidRDefault="00CD651A" w:rsidP="003F6B53">
      <w:pPr>
        <w:spacing w:line="23" w:lineRule="atLeast"/>
        <w:jc w:val="both"/>
        <w:rPr>
          <w:rFonts w:ascii="Arial" w:eastAsia="Aptos" w:hAnsi="Arial" w:cs="Arial"/>
          <w:color w:val="000000" w:themeColor="text1"/>
        </w:rPr>
      </w:pPr>
    </w:p>
    <w:p w14:paraId="347074BF" w14:textId="1B70CBA3"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Ingresos corrientes de libre destinación: corresponde a aquellos recursos equivalentes a mínimo el 1% de estos ingresos, de conformidad con lo establecido en el artículo 111 de la Ley 99 de 1993 modificado por el artículo 210 de la Ley 1450 de 2011.</w:t>
      </w:r>
    </w:p>
    <w:p w14:paraId="7E26394A" w14:textId="77777777" w:rsidR="00CD651A" w:rsidRPr="0081375C" w:rsidRDefault="00CD651A" w:rsidP="00CD651A">
      <w:pPr>
        <w:pStyle w:val="Prrafodelista"/>
        <w:spacing w:line="23" w:lineRule="atLeast"/>
        <w:jc w:val="both"/>
        <w:rPr>
          <w:rFonts w:ascii="Arial" w:eastAsia="Aptos" w:hAnsi="Arial" w:cs="Arial"/>
          <w:color w:val="000000" w:themeColor="text1"/>
        </w:rPr>
      </w:pPr>
    </w:p>
    <w:p w14:paraId="5B1D7901" w14:textId="49617479"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Ingresos del Sector Eléctrico: corresponde a aquellos recursos que son direccionados por el Sector Eléctrico a la entidad Distrital conforme lo establece el artículo 45 de la Ley 99 de 1993.</w:t>
      </w:r>
    </w:p>
    <w:p w14:paraId="4629B715" w14:textId="77777777" w:rsidR="00CD651A" w:rsidRPr="0081375C" w:rsidRDefault="00CD651A" w:rsidP="00CD651A">
      <w:pPr>
        <w:spacing w:line="23" w:lineRule="atLeast"/>
        <w:jc w:val="both"/>
        <w:rPr>
          <w:rFonts w:ascii="Arial" w:eastAsia="Aptos" w:hAnsi="Arial" w:cs="Arial"/>
          <w:color w:val="000000" w:themeColor="text1"/>
        </w:rPr>
      </w:pPr>
    </w:p>
    <w:p w14:paraId="73A4F6C3" w14:textId="6D5DA834"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Recursos públicos destinados para la adquisición de predios en ecosistemas estratégicos: corresponde a aquellos recursos que son direccionados por la entidad distrital para la adquisición de predios, de conformidad el artículo 108 de la Ley 99 de 1993 modificado por el artículo 174 de la Ley 1753 de 2015.</w:t>
      </w:r>
    </w:p>
    <w:p w14:paraId="47CF0E1F" w14:textId="77777777" w:rsidR="00CD651A" w:rsidRPr="0081375C" w:rsidRDefault="00CD651A" w:rsidP="00CD651A">
      <w:pPr>
        <w:spacing w:line="23" w:lineRule="atLeast"/>
        <w:jc w:val="both"/>
        <w:rPr>
          <w:rFonts w:ascii="Arial" w:eastAsia="Aptos" w:hAnsi="Arial" w:cs="Arial"/>
          <w:color w:val="000000" w:themeColor="text1"/>
        </w:rPr>
      </w:pPr>
    </w:p>
    <w:p w14:paraId="5C9FA285" w14:textId="23A0BE66"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Fondos Especiales: corresponde aquellos recursos previstos en los fondos especiales que para tal fin disponga el Gobierno Nacional en el marco de la </w:t>
      </w:r>
      <w:r w:rsidRPr="0081375C">
        <w:rPr>
          <w:rFonts w:ascii="Arial" w:eastAsia="Aptos" w:hAnsi="Arial" w:cs="Arial"/>
          <w:color w:val="000000" w:themeColor="text1"/>
        </w:rPr>
        <w:lastRenderedPageBreak/>
        <w:t>implementación del Acuerdo Final para la Terminación del Conflicto y la Construcción de una Paz Estable y Duradera.</w:t>
      </w:r>
    </w:p>
    <w:p w14:paraId="49643060" w14:textId="77777777" w:rsidR="00CD651A" w:rsidRPr="0081375C" w:rsidRDefault="00CD651A" w:rsidP="00CD651A">
      <w:pPr>
        <w:spacing w:line="23" w:lineRule="atLeast"/>
        <w:jc w:val="both"/>
        <w:rPr>
          <w:rFonts w:ascii="Arial" w:eastAsia="Aptos" w:hAnsi="Arial" w:cs="Arial"/>
          <w:color w:val="000000" w:themeColor="text1"/>
        </w:rPr>
      </w:pPr>
    </w:p>
    <w:p w14:paraId="4730F7F8" w14:textId="2B9373C2"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Aportes Voluntarios: corresponden a aquellos recursos dirigidos por personas naturales o jurídicas como aporte voluntario que realizan a la Administración Distrital para el financiamiento de programas de Medio Ambiente en los que se tenga destinación para las acciones de preservación y restauración de ecosistemas estratégicos en el marco de Pagos por Servicios Ambientales.</w:t>
      </w:r>
    </w:p>
    <w:p w14:paraId="24E97753" w14:textId="77777777" w:rsidR="00CD651A" w:rsidRPr="0081375C" w:rsidRDefault="00CD651A" w:rsidP="00CD651A">
      <w:pPr>
        <w:spacing w:line="23" w:lineRule="atLeast"/>
        <w:jc w:val="both"/>
        <w:rPr>
          <w:rFonts w:ascii="Arial" w:eastAsia="Aptos" w:hAnsi="Arial" w:cs="Arial"/>
          <w:color w:val="000000" w:themeColor="text1"/>
        </w:rPr>
      </w:pPr>
    </w:p>
    <w:p w14:paraId="3CB4B2D8" w14:textId="53200943"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Rendimientos Financieros: corresponden a aquellos rendimientos financieros que se generen por la aplicación del artículo 108 de la Ley 99 de 1993 modificado por el artículo 174 de la Ley 1753 de 2015, artículo 111 de la Ley 99 de 1993 modificado por la Ley 2320 de 2023 y artículo 45 de la Ley 99 de 1993.</w:t>
      </w:r>
    </w:p>
    <w:p w14:paraId="13A24439" w14:textId="77777777" w:rsidR="00CD651A" w:rsidRPr="0081375C" w:rsidRDefault="00CD651A" w:rsidP="00CD651A">
      <w:pPr>
        <w:spacing w:line="23" w:lineRule="atLeast"/>
        <w:jc w:val="both"/>
        <w:rPr>
          <w:rFonts w:ascii="Arial" w:eastAsia="Aptos" w:hAnsi="Arial" w:cs="Arial"/>
          <w:color w:val="000000" w:themeColor="text1"/>
        </w:rPr>
      </w:pPr>
    </w:p>
    <w:p w14:paraId="0DB89E0D" w14:textId="54A0F705" w:rsidR="00825D4D" w:rsidRPr="0081375C" w:rsidRDefault="00806784">
      <w:pPr>
        <w:pStyle w:val="Prrafodelista"/>
        <w:numPr>
          <w:ilvl w:val="0"/>
          <w:numId w:val="18"/>
        </w:numPr>
        <w:spacing w:line="23" w:lineRule="atLeast"/>
        <w:jc w:val="both"/>
        <w:rPr>
          <w:rFonts w:ascii="Arial" w:eastAsia="Aptos" w:hAnsi="Arial" w:cs="Arial"/>
          <w:color w:val="000000" w:themeColor="text1"/>
        </w:rPr>
      </w:pPr>
      <w:r w:rsidRPr="0081375C">
        <w:rPr>
          <w:rFonts w:ascii="Arial" w:eastAsia="Aptos" w:hAnsi="Arial" w:cs="Arial"/>
          <w:color w:val="000000" w:themeColor="text1"/>
        </w:rPr>
        <w:t>Otros Ingresos: corresponde aquellos recursos que estén apropiados en el presupuesto distrital conforme al Plan Plurianual de Inversiones del Plan de Desarrollo Distrital vigentes, adicionales al 1% de los ingresos corrientes de libre destinación asignados por la Ley 99 de 1993.</w:t>
      </w:r>
    </w:p>
    <w:p w14:paraId="32D947B7" w14:textId="77777777" w:rsidR="00CD651A" w:rsidRPr="0081375C" w:rsidRDefault="00CD651A" w:rsidP="00CD651A">
      <w:pPr>
        <w:spacing w:line="23" w:lineRule="atLeast"/>
        <w:jc w:val="both"/>
        <w:rPr>
          <w:rFonts w:ascii="Arial" w:eastAsia="Aptos" w:hAnsi="Arial" w:cs="Arial"/>
          <w:color w:val="000000" w:themeColor="text1"/>
        </w:rPr>
      </w:pPr>
    </w:p>
    <w:p w14:paraId="108253C1"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Parágrafo. El Distrito Especial de Ciencia, Tecnología e Innovación de Medellín en el marco de su autonomía y competencias podrá definir mecanismos de financiación y cofinanciación con la participación de entidades públicas y privadas del ámbito regional, departamental y nacional para implementar los pagos por servicios ambientales."</w:t>
      </w:r>
    </w:p>
    <w:p w14:paraId="45B9A4FC" w14:textId="77777777" w:rsidR="00CD651A" w:rsidRPr="0081375C" w:rsidRDefault="00CD651A" w:rsidP="003F6B53">
      <w:pPr>
        <w:spacing w:line="23" w:lineRule="atLeast"/>
        <w:jc w:val="both"/>
        <w:rPr>
          <w:rFonts w:ascii="Arial" w:eastAsia="Aptos" w:hAnsi="Arial" w:cs="Arial"/>
          <w:color w:val="000000" w:themeColor="text1"/>
        </w:rPr>
      </w:pPr>
    </w:p>
    <w:p w14:paraId="43144DE8" w14:textId="7ABC0CA7" w:rsidR="00825D4D" w:rsidRPr="0081375C" w:rsidRDefault="320D76C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Además de lo anterior, también se presenta una a</w:t>
      </w:r>
      <w:r w:rsidR="53ABCE9C" w:rsidRPr="0081375C">
        <w:rPr>
          <w:rFonts w:ascii="Arial" w:eastAsia="Aptos" w:hAnsi="Arial" w:cs="Arial"/>
          <w:color w:val="000000" w:themeColor="text1"/>
        </w:rPr>
        <w:t>lineación</w:t>
      </w:r>
      <w:r w:rsidR="00806784" w:rsidRPr="0081375C">
        <w:rPr>
          <w:rFonts w:ascii="Arial" w:eastAsia="Aptos" w:hAnsi="Arial" w:cs="Arial"/>
          <w:color w:val="000000" w:themeColor="text1"/>
        </w:rPr>
        <w:t xml:space="preserve"> Programática</w:t>
      </w:r>
      <w:r w:rsidR="13E613AB" w:rsidRPr="0081375C">
        <w:rPr>
          <w:rFonts w:ascii="Arial" w:eastAsia="Aptos" w:hAnsi="Arial" w:cs="Arial"/>
          <w:color w:val="000000" w:themeColor="text1"/>
        </w:rPr>
        <w:t>, ya que el</w:t>
      </w:r>
      <w:r w:rsidR="00806784" w:rsidRPr="0081375C">
        <w:rPr>
          <w:rFonts w:ascii="Arial" w:eastAsia="Aptos" w:hAnsi="Arial" w:cs="Arial"/>
          <w:color w:val="000000" w:themeColor="text1"/>
        </w:rPr>
        <w:t xml:space="preserve"> Plan de Desarrollo Distrital 2024-2027 "Medellín te quiere" incorpora el PSA como indicador dentro de la Gestión de la Biodiversidad y sus Servicios Ecosistémicos en el pilar 5 sostenibilidad ambiental y bienestar animal.</w:t>
      </w:r>
    </w:p>
    <w:p w14:paraId="2446827C" w14:textId="77777777" w:rsidR="00CD651A" w:rsidRPr="0081375C" w:rsidRDefault="00CD651A" w:rsidP="003F6B53">
      <w:pPr>
        <w:spacing w:line="23" w:lineRule="atLeast"/>
        <w:jc w:val="both"/>
        <w:rPr>
          <w:rFonts w:ascii="Arial" w:eastAsia="Aptos" w:hAnsi="Arial" w:cs="Arial"/>
          <w:color w:val="000000" w:themeColor="text1"/>
        </w:rPr>
      </w:pPr>
    </w:p>
    <w:p w14:paraId="24DDF17E"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Este andamiaje se complementa con la Política de Biodiversidad (Acuerdo 10 de 2014), el programa de Corredores Ecológicos para Avifauna (Acuerdo 41 de 2015) y el Plan de Renaturalización.</w:t>
      </w:r>
    </w:p>
    <w:p w14:paraId="24EDF90A" w14:textId="77777777" w:rsidR="00CD651A" w:rsidRPr="0081375C" w:rsidRDefault="00CD651A" w:rsidP="003F6B53">
      <w:pPr>
        <w:spacing w:line="23" w:lineRule="atLeast"/>
        <w:jc w:val="both"/>
        <w:rPr>
          <w:rFonts w:ascii="Arial" w:eastAsia="Aptos" w:hAnsi="Arial" w:cs="Arial"/>
          <w:color w:val="000000" w:themeColor="text1"/>
        </w:rPr>
      </w:pPr>
    </w:p>
    <w:p w14:paraId="4307B579"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el marco del Acuerdo 010 de 2014, mediante el cual se adopta la Política de Biodiversidad para Medellín, se reconoce la importancia de implementar acciones orientadas a la conservación, restauración y uso sostenible de la biodiversidad y los servicios ecosistémicos, promoviendo mecanismos que fortalezcan la sostenibilidad territorial y el bienestar humano. En este sentido, el artículo 10 establece que la implementación de la Política debe desarrollarse a través de un plan de acción. Asimismo, el artículo 9 señala que todas las dependencias y organismos de la administración municipal, bajo la coordinación de la Secretaría de Medio Ambiente de Medellín, deberán articular esfuerzos, instrumentos técnicos y financieros para la ejecución de las líneas estratégicas y proyectos contemplados en dicho Plan.</w:t>
      </w:r>
    </w:p>
    <w:p w14:paraId="0361B5DD" w14:textId="77777777" w:rsidR="00CD651A" w:rsidRPr="0081375C" w:rsidRDefault="00CD651A" w:rsidP="003F6B53">
      <w:pPr>
        <w:spacing w:line="23" w:lineRule="atLeast"/>
        <w:jc w:val="both"/>
        <w:rPr>
          <w:rFonts w:ascii="Arial" w:eastAsia="Aptos" w:hAnsi="Arial" w:cs="Arial"/>
          <w:color w:val="000000" w:themeColor="text1"/>
        </w:rPr>
      </w:pPr>
    </w:p>
    <w:p w14:paraId="6A543BAD"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Por lo anterior, los esquemas de Pago por Servicios Ambientales enfocados en biodiversidad se constituyen como una estrategia que contribuye a la conservación y mantenimiento de ecosistemas estratégicos, la protección de la biodiversidad y la conectividad ecológica, incentivando la participación de actores territoriales en acciones de conservación acordes con los objetivos y proyectos definidos en el plan de acción de la Política de Biodiversidad para Medellín.</w:t>
      </w:r>
    </w:p>
    <w:p w14:paraId="1B9AA69F" w14:textId="77777777" w:rsidR="00CD651A" w:rsidRPr="0081375C" w:rsidRDefault="00CD651A" w:rsidP="003F6B53">
      <w:pPr>
        <w:spacing w:line="23" w:lineRule="atLeast"/>
        <w:jc w:val="both"/>
        <w:rPr>
          <w:rFonts w:ascii="Arial" w:eastAsia="Aptos" w:hAnsi="Arial" w:cs="Arial"/>
          <w:color w:val="000000" w:themeColor="text1"/>
        </w:rPr>
      </w:pPr>
    </w:p>
    <w:p w14:paraId="6F5478ED" w14:textId="1BDF4F1D" w:rsidR="00825D4D" w:rsidRPr="0081375C" w:rsidRDefault="00806784" w:rsidP="003F6B53">
      <w:pPr>
        <w:spacing w:line="23" w:lineRule="atLeast"/>
        <w:jc w:val="both"/>
        <w:rPr>
          <w:rFonts w:ascii="Arial" w:eastAsia="Aptos" w:hAnsi="Arial" w:cs="Arial"/>
          <w:color w:val="000000" w:themeColor="text1"/>
        </w:rPr>
      </w:pPr>
      <w:r w:rsidRPr="0081375C">
        <w:rPr>
          <w:rFonts w:ascii="Arial" w:hAnsi="Arial"/>
          <w:color w:val="000000" w:themeColor="text1"/>
        </w:rPr>
        <w:t xml:space="preserve">De manera complementaria, </w:t>
      </w:r>
      <w:r w:rsidR="00CB722F" w:rsidRPr="0081375C">
        <w:rPr>
          <w:rFonts w:ascii="Arial" w:hAnsi="Arial"/>
          <w:color w:val="000000" w:themeColor="text1"/>
        </w:rPr>
        <w:t>los esquemas de Pago por Servicios Ambientales (PSA) contribuyen al cumplimiento de los objetivos del Plan Maestro de Mi Río – Mis Quebradas y del Plan de Drenaje Sostenible Urbano y Rural adoptado mediante el Acuerdo Distrital 050 de 2025, al incentivar la conservación, restauración y gestión sostenible de áreas estratégicas para la regulación hídrica y la biodiversidad del territorio. A través de la protección de cuencas abastecedoras, rondas hídricas, zonas de infiltración y recarga de acuíferos, corredores ecológicos y demás ecosistemas asociados a la red hídrica distrital, los PSA favorecen la mejora de la calidad y disponibilidad del agua, la reducción de procesos erosivos y riesgos asociados a inundaciones y movimientos en masa, así como el fortalecimiento de la infraestructura natural y la resiliencia climática. De esta manera, los PSA se consolidan como una herramienta complementaria para la implementación de soluciones basadas en la naturaleza, la renaturalización de los sistemas hídricos y la gestión integral del recurso hídrico, aportando simultáneamente a la seguridad hídrica, la conectividad ecológica y la sostenibilidad ambiental del Distrito de Medellín.</w:t>
      </w:r>
    </w:p>
    <w:p w14:paraId="16B01F4D" w14:textId="77777777" w:rsidR="00825D4D" w:rsidRPr="0081375C" w:rsidRDefault="00825D4D" w:rsidP="003F6B53">
      <w:pPr>
        <w:spacing w:line="23" w:lineRule="atLeast"/>
        <w:jc w:val="both"/>
        <w:rPr>
          <w:rFonts w:ascii="Arial" w:eastAsia="Aptos" w:hAnsi="Arial" w:cs="Arial"/>
          <w:color w:val="000000" w:themeColor="text1"/>
        </w:rPr>
      </w:pPr>
    </w:p>
    <w:p w14:paraId="7DAD828B" w14:textId="2BBC8496"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La articulación del programa de Pago por Servicios Ambientales (PSA) con el POMCA (Plan de Ordenación y Manejo de la Cuenca Hidrográfica) </w:t>
      </w:r>
      <w:r w:rsidR="00601B56" w:rsidRPr="0081375C">
        <w:rPr>
          <w:rFonts w:ascii="Arial" w:eastAsia="Aptos" w:hAnsi="Arial" w:cs="Arial"/>
          <w:color w:val="000000" w:themeColor="text1"/>
        </w:rPr>
        <w:t xml:space="preserve">y </w:t>
      </w:r>
      <w:r w:rsidRPr="0081375C">
        <w:rPr>
          <w:rFonts w:ascii="Arial" w:eastAsia="Aptos" w:hAnsi="Arial" w:cs="Arial"/>
          <w:color w:val="000000" w:themeColor="text1"/>
        </w:rPr>
        <w:t xml:space="preserve">del </w:t>
      </w:r>
      <w:r w:rsidR="00266B63" w:rsidRPr="0081375C">
        <w:rPr>
          <w:rFonts w:ascii="Arial" w:eastAsia="Aptos" w:hAnsi="Arial" w:cs="Arial"/>
          <w:color w:val="000000" w:themeColor="text1"/>
        </w:rPr>
        <w:t>Río</w:t>
      </w:r>
      <w:r w:rsidRPr="0081375C">
        <w:rPr>
          <w:rFonts w:ascii="Arial" w:eastAsia="Aptos" w:hAnsi="Arial" w:cs="Arial"/>
          <w:color w:val="000000" w:themeColor="text1"/>
        </w:rPr>
        <w:t xml:space="preserve"> Aburrá se consolida formalmente al incorporar este esquema de incentivos dentro de la línea programática de gestión integral del recurso hídrico del plan, utilizando de manera vinculante la zonificación ambiental para priorizar los predios ubicados en áreas de preservación, restauración y recarga de acuíferos de las cuencas altas. Esta integración se financia de forma sostenible mediante la destinación obligatoria de las transferencias económicas de las empresas generadoras de energía estipuladas en el artículo 45 de la Ley 99 de 1993</w:t>
      </w:r>
      <w:r w:rsidR="00CD651A" w:rsidRPr="0081375C">
        <w:rPr>
          <w:rFonts w:ascii="Arial" w:eastAsia="Aptos" w:hAnsi="Arial" w:cs="Arial"/>
          <w:color w:val="000000" w:themeColor="text1"/>
        </w:rPr>
        <w:t>.</w:t>
      </w:r>
    </w:p>
    <w:p w14:paraId="6A6CCD3C" w14:textId="77777777" w:rsidR="00CD651A" w:rsidRPr="0081375C" w:rsidRDefault="00CD651A" w:rsidP="003F6B53">
      <w:pPr>
        <w:spacing w:line="23" w:lineRule="atLeast"/>
        <w:jc w:val="both"/>
        <w:rPr>
          <w:rFonts w:ascii="Arial" w:eastAsia="Aptos" w:hAnsi="Arial" w:cs="Arial"/>
          <w:color w:val="000000" w:themeColor="text1"/>
        </w:rPr>
      </w:pPr>
    </w:p>
    <w:p w14:paraId="047609D5"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Considerando la normativa tanto nacional como local, que se aborda del PSA, a continuación, se presenta el normograma (Tabla 1).</w:t>
      </w:r>
    </w:p>
    <w:p w14:paraId="0A8FB7AB" w14:textId="77777777" w:rsidR="00CD651A" w:rsidRPr="0081375C" w:rsidRDefault="00CD651A" w:rsidP="003F6B53">
      <w:pPr>
        <w:spacing w:line="23" w:lineRule="atLeast"/>
        <w:jc w:val="both"/>
        <w:rPr>
          <w:rFonts w:ascii="Arial" w:eastAsia="Aptos" w:hAnsi="Arial" w:cs="Arial"/>
          <w:color w:val="000000" w:themeColor="text1"/>
        </w:rPr>
      </w:pPr>
    </w:p>
    <w:p w14:paraId="76121B43" w14:textId="6B3FE032" w:rsidR="00825D4D" w:rsidRPr="0081375C" w:rsidRDefault="608C8B8C" w:rsidP="7670D8C4">
      <w:pPr>
        <w:pStyle w:val="Descripcin"/>
        <w:spacing w:after="0" w:line="23" w:lineRule="atLeast"/>
        <w:jc w:val="both"/>
        <w:rPr>
          <w:rFonts w:ascii="Arial" w:eastAsia="Aptos" w:hAnsi="Arial" w:cs="Arial"/>
          <w:b/>
          <w:bCs/>
          <w:i w:val="0"/>
          <w:iCs w:val="0"/>
          <w:color w:val="000000" w:themeColor="text1"/>
          <w:sz w:val="20"/>
          <w:szCs w:val="20"/>
        </w:rPr>
      </w:pPr>
      <w:bookmarkStart w:id="11" w:name="_Toc233040650"/>
      <w:r w:rsidRPr="0081375C">
        <w:rPr>
          <w:rFonts w:ascii="Arial" w:hAnsi="Arial" w:cs="Arial"/>
          <w:b/>
          <w:bCs/>
          <w:i w:val="0"/>
          <w:iCs w:val="0"/>
          <w:color w:val="000000" w:themeColor="text1"/>
          <w:sz w:val="20"/>
          <w:szCs w:val="20"/>
        </w:rPr>
        <w:t xml:space="preserve">Tabla </w:t>
      </w:r>
      <w:r w:rsidR="00806784" w:rsidRPr="0081375C">
        <w:rPr>
          <w:rFonts w:ascii="Arial" w:hAnsi="Arial" w:cs="Arial"/>
          <w:b/>
          <w:bCs/>
          <w:i w:val="0"/>
          <w:iCs w:val="0"/>
          <w:color w:val="000000" w:themeColor="text1"/>
          <w:sz w:val="20"/>
          <w:szCs w:val="20"/>
        </w:rPr>
        <w:fldChar w:fldCharType="begin"/>
      </w:r>
      <w:r w:rsidR="00806784" w:rsidRPr="0081375C">
        <w:rPr>
          <w:rFonts w:ascii="Arial" w:hAnsi="Arial" w:cs="Arial"/>
          <w:b/>
          <w:bCs/>
          <w:i w:val="0"/>
          <w:iCs w:val="0"/>
          <w:color w:val="000000" w:themeColor="text1"/>
          <w:sz w:val="20"/>
          <w:szCs w:val="20"/>
        </w:rPr>
        <w:instrText xml:space="preserve"> SEQ Tabla \* ARABIC </w:instrText>
      </w:r>
      <w:r w:rsidR="00806784" w:rsidRPr="0081375C">
        <w:rPr>
          <w:rFonts w:ascii="Arial" w:hAnsi="Arial" w:cs="Arial"/>
          <w:b/>
          <w:bCs/>
          <w:i w:val="0"/>
          <w:iCs w:val="0"/>
          <w:color w:val="000000" w:themeColor="text1"/>
          <w:sz w:val="20"/>
          <w:szCs w:val="20"/>
        </w:rPr>
        <w:fldChar w:fldCharType="separate"/>
      </w:r>
      <w:r w:rsidR="00921CE3" w:rsidRPr="0081375C">
        <w:rPr>
          <w:rFonts w:ascii="Arial" w:hAnsi="Arial" w:cs="Arial"/>
          <w:b/>
          <w:bCs/>
          <w:i w:val="0"/>
          <w:iCs w:val="0"/>
          <w:noProof/>
          <w:color w:val="000000" w:themeColor="text1"/>
          <w:sz w:val="20"/>
          <w:szCs w:val="20"/>
        </w:rPr>
        <w:t>1</w:t>
      </w:r>
      <w:r w:rsidR="00806784" w:rsidRPr="0081375C">
        <w:rPr>
          <w:rFonts w:ascii="Arial" w:hAnsi="Arial" w:cs="Arial"/>
          <w:b/>
          <w:bCs/>
          <w:i w:val="0"/>
          <w:iCs w:val="0"/>
          <w:color w:val="000000" w:themeColor="text1"/>
          <w:sz w:val="20"/>
          <w:szCs w:val="20"/>
        </w:rPr>
        <w:fldChar w:fldCharType="end"/>
      </w:r>
      <w:r w:rsidRPr="0081375C">
        <w:rPr>
          <w:rFonts w:ascii="Arial" w:eastAsia="Aptos" w:hAnsi="Arial" w:cs="Arial"/>
          <w:b/>
          <w:bCs/>
          <w:i w:val="0"/>
          <w:iCs w:val="0"/>
          <w:color w:val="000000" w:themeColor="text1"/>
          <w:sz w:val="20"/>
          <w:szCs w:val="20"/>
        </w:rPr>
        <w:t>.</w:t>
      </w:r>
      <w:r w:rsidRPr="0081375C">
        <w:rPr>
          <w:rFonts w:ascii="Arial" w:hAnsi="Arial" w:cs="Arial"/>
          <w:b/>
          <w:bCs/>
          <w:i w:val="0"/>
          <w:iCs w:val="0"/>
          <w:color w:val="000000" w:themeColor="text1"/>
          <w:sz w:val="20"/>
          <w:szCs w:val="20"/>
        </w:rPr>
        <w:t xml:space="preserve"> </w:t>
      </w:r>
      <w:r w:rsidRPr="0081375C">
        <w:rPr>
          <w:rFonts w:ascii="Arial" w:eastAsia="Aptos" w:hAnsi="Arial" w:cs="Arial"/>
          <w:b/>
          <w:bCs/>
          <w:i w:val="0"/>
          <w:iCs w:val="0"/>
          <w:color w:val="000000" w:themeColor="text1"/>
          <w:sz w:val="20"/>
          <w:szCs w:val="20"/>
        </w:rPr>
        <w:t xml:space="preserve">Normograma nacional y distrital sobre </w:t>
      </w:r>
      <w:r w:rsidR="61E15410" w:rsidRPr="0081375C">
        <w:rPr>
          <w:rFonts w:ascii="Arial" w:eastAsia="Aptos" w:hAnsi="Arial" w:cs="Arial"/>
          <w:b/>
          <w:bCs/>
          <w:i w:val="0"/>
          <w:iCs w:val="0"/>
          <w:color w:val="000000" w:themeColor="text1"/>
          <w:sz w:val="20"/>
          <w:szCs w:val="20"/>
        </w:rPr>
        <w:t xml:space="preserve">el PSA como instrumento </w:t>
      </w:r>
      <w:r w:rsidR="20C3D544" w:rsidRPr="0081375C">
        <w:rPr>
          <w:rFonts w:ascii="Arial" w:eastAsia="Aptos" w:hAnsi="Arial" w:cs="Arial"/>
          <w:b/>
          <w:bCs/>
          <w:i w:val="0"/>
          <w:iCs w:val="0"/>
          <w:color w:val="000000" w:themeColor="text1"/>
          <w:sz w:val="20"/>
          <w:szCs w:val="20"/>
        </w:rPr>
        <w:t>económico</w:t>
      </w:r>
      <w:bookmarkEnd w:id="11"/>
    </w:p>
    <w:tbl>
      <w:tblPr>
        <w:tblStyle w:val="Tablaconcuadrcula"/>
        <w:tblW w:w="8781" w:type="dxa"/>
        <w:tblLayout w:type="fixed"/>
        <w:tblCellMar>
          <w:top w:w="30" w:type="dxa"/>
          <w:left w:w="45" w:type="dxa"/>
          <w:bottom w:w="30" w:type="dxa"/>
          <w:right w:w="45" w:type="dxa"/>
        </w:tblCellMar>
        <w:tblLook w:val="06A0" w:firstRow="1" w:lastRow="0" w:firstColumn="1" w:lastColumn="0" w:noHBand="1" w:noVBand="1"/>
      </w:tblPr>
      <w:tblGrid>
        <w:gridCol w:w="2544"/>
        <w:gridCol w:w="6237"/>
      </w:tblGrid>
      <w:tr w:rsidR="00825D4D" w:rsidRPr="0081375C" w14:paraId="0D190D65" w14:textId="77777777" w:rsidTr="006C52DF">
        <w:trPr>
          <w:trHeight w:val="20"/>
          <w:tblHeader/>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ACD3B3" w14:textId="77777777" w:rsidR="00825D4D" w:rsidRPr="0081375C" w:rsidRDefault="00806784" w:rsidP="00C35122">
            <w:pPr>
              <w:spacing w:line="23" w:lineRule="atLeast"/>
              <w:mirrorIndents/>
              <w:jc w:val="center"/>
              <w:rPr>
                <w:rFonts w:ascii="Arial" w:hAnsi="Arial" w:cs="Arial"/>
                <w:b/>
                <w:bCs/>
                <w:color w:val="000000" w:themeColor="text1"/>
                <w:sz w:val="20"/>
                <w:szCs w:val="20"/>
              </w:rPr>
            </w:pPr>
            <w:r w:rsidRPr="0081375C">
              <w:rPr>
                <w:rFonts w:ascii="Arial" w:eastAsia="Arial" w:hAnsi="Arial" w:cs="Arial"/>
                <w:b/>
                <w:bCs/>
                <w:color w:val="000000" w:themeColor="text1"/>
                <w:sz w:val="20"/>
                <w:szCs w:val="20"/>
              </w:rPr>
              <w:t>NORMA</w:t>
            </w:r>
          </w:p>
        </w:tc>
        <w:tc>
          <w:tcPr>
            <w:tcW w:w="6237" w:type="dxa"/>
            <w:tcBorders>
              <w:top w:val="single" w:sz="6" w:space="0" w:color="000000" w:themeColor="text1"/>
              <w:left w:val="single" w:sz="6" w:space="0" w:color="CCCCCC"/>
              <w:bottom w:val="single" w:sz="6" w:space="0" w:color="000000" w:themeColor="text1"/>
              <w:right w:val="single" w:sz="6" w:space="0" w:color="000000" w:themeColor="text1"/>
            </w:tcBorders>
            <w:vAlign w:val="center"/>
          </w:tcPr>
          <w:p w14:paraId="4D6A9669" w14:textId="77777777" w:rsidR="00825D4D" w:rsidRPr="0081375C" w:rsidRDefault="00806784" w:rsidP="00C35122">
            <w:pPr>
              <w:spacing w:line="23" w:lineRule="atLeast"/>
              <w:mirrorIndents/>
              <w:jc w:val="center"/>
              <w:rPr>
                <w:rFonts w:ascii="Arial" w:hAnsi="Arial" w:cs="Arial"/>
                <w:b/>
                <w:bCs/>
                <w:color w:val="000000" w:themeColor="text1"/>
                <w:sz w:val="20"/>
                <w:szCs w:val="20"/>
              </w:rPr>
            </w:pPr>
            <w:r w:rsidRPr="0081375C">
              <w:rPr>
                <w:rFonts w:ascii="Arial" w:eastAsia="Arial" w:hAnsi="Arial" w:cs="Arial"/>
                <w:b/>
                <w:bCs/>
                <w:color w:val="000000" w:themeColor="text1"/>
                <w:sz w:val="20"/>
                <w:szCs w:val="20"/>
              </w:rPr>
              <w:t>DESCRIPCIÓN Y RELEVANCIA PARA LA METODOLOGÍA</w:t>
            </w:r>
          </w:p>
        </w:tc>
      </w:tr>
      <w:tr w:rsidR="00825D4D" w:rsidRPr="0081375C" w14:paraId="3F0DFAF6"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1523879A"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Constitución Política de 1991</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55BFEDAD" w14:textId="77777777" w:rsidR="00825D4D" w:rsidRPr="0081375C" w:rsidRDefault="00806784"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Arts. 79, 80 y 334. Fundamento del derecho al ambiente sano y la función ecológica de la propiedad. Base para limitar el uso del suelo en favor del interés común.</w:t>
            </w:r>
          </w:p>
        </w:tc>
      </w:tr>
      <w:tr w:rsidR="00825D4D" w:rsidRPr="0081375C" w14:paraId="6A59F7B3"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1661858A"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Ley 99 de 1993</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167AC2F1" w14:textId="1E8F0084" w:rsidR="00BC3FCD" w:rsidRPr="0081375C" w:rsidRDefault="00BC3FCD"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Art. 45 de la Ley 99 de 1993</w:t>
            </w:r>
          </w:p>
          <w:p w14:paraId="6C600884" w14:textId="77777777" w:rsidR="00BC3FCD" w:rsidRPr="0081375C" w:rsidRDefault="00BC3FCD" w:rsidP="00C35122">
            <w:pPr>
              <w:spacing w:line="23" w:lineRule="atLeast"/>
              <w:mirrorIndents/>
              <w:jc w:val="center"/>
              <w:rPr>
                <w:rFonts w:ascii="Arial" w:eastAsia="Arial" w:hAnsi="Arial" w:cs="Arial"/>
                <w:color w:val="000000" w:themeColor="text1"/>
                <w:sz w:val="20"/>
                <w:szCs w:val="20"/>
              </w:rPr>
            </w:pPr>
          </w:p>
          <w:p w14:paraId="3DB09A03" w14:textId="6532E3F5" w:rsidR="00BC3FCD" w:rsidRPr="0081375C" w:rsidRDefault="00BC3FCD"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lastRenderedPageBreak/>
              <w:t>Art. 108 de la Ley 99 de 1993 modificado por el artículo 174 de la Ley 1753 de 2015,</w:t>
            </w:r>
          </w:p>
          <w:p w14:paraId="36C623D8"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Art. 111 (Mod. por Ley 2320 de 2023). Declara de interés público las áreas estratégicas para el recurso hídrico. Obliga a destinar el 1% de ingresos corrientes a adquisición de predios o PSA.</w:t>
            </w:r>
          </w:p>
        </w:tc>
      </w:tr>
      <w:tr w:rsidR="00825D4D" w:rsidRPr="0081375C" w14:paraId="02C7B087"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18806CE4"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lastRenderedPageBreak/>
              <w:t>Acuerdo 48 de 2014 (POT Medellín)</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1064B6DB"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Arts. 527 y 528. Define el PSA como instrumento de financiación del desarrollo rural y protección de la estructura ecológica principal.</w:t>
            </w:r>
          </w:p>
        </w:tc>
      </w:tr>
      <w:tr w:rsidR="00825D4D" w:rsidRPr="0081375C" w14:paraId="1161AE4C"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39392BCD"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Decreto 1076 de 2015</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28DBC001"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Decreto reglamentario del Sector Ambiente. Compila las reglas de juego nacionales. Es el marco de referencia para implementación de PSA.</w:t>
            </w:r>
          </w:p>
        </w:tc>
      </w:tr>
      <w:tr w:rsidR="00825D4D" w:rsidRPr="0081375C" w14:paraId="75D3D3B3"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6B685B78"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Decreto Ley 870 de 2017</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51DBBC4E"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Norma matriz del PSA. Establece los principios de: Voluntariedad, Adicionalidad, Condicionalidad y Focalización. Define las modalidades de conservación y restauración.</w:t>
            </w:r>
          </w:p>
        </w:tc>
      </w:tr>
      <w:tr w:rsidR="00825D4D" w:rsidRPr="0081375C" w14:paraId="351CEB27"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5A6D7249"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Decreto 1007 de 2018</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58E71BA8"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Reglamenta el uso de los recursos del 1% para PSA. Define qué actividades son financiables (ej. cercamientos, monitoreo, incentivo económico).</w:t>
            </w:r>
          </w:p>
        </w:tc>
      </w:tr>
      <w:tr w:rsidR="00825D4D" w:rsidRPr="0081375C" w14:paraId="0421F1E3"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3175F8F5"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Decreto 1114 de 2023 (Distrito Medellín)</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04BA8F8E"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Deroga los decretos 1910/16 y 0602/18. Es la norma procedimental actual del Distrito. Amplía las modalidades a: Carbono, Cultura y Biodiversidad.</w:t>
            </w:r>
          </w:p>
        </w:tc>
      </w:tr>
      <w:tr w:rsidR="00825D4D" w:rsidRPr="0081375C" w14:paraId="66D86E0B"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254946E4" w14:textId="77777777" w:rsidR="00825D4D" w:rsidRPr="0081375C" w:rsidRDefault="00806784"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Decreto 774 de 2024</w:t>
            </w:r>
          </w:p>
          <w:p w14:paraId="07315FDD"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(Distrito Medellín)</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42DB0194" w14:textId="77777777" w:rsidR="00825D4D" w:rsidRPr="0081375C" w:rsidRDefault="00806784"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Por medio del cual se expide el Decreto Único de Medio Ambiente del Distrito de Medellín</w:t>
            </w:r>
          </w:p>
        </w:tc>
      </w:tr>
      <w:tr w:rsidR="00825D4D" w:rsidRPr="0081375C" w14:paraId="5382CEBC" w14:textId="77777777" w:rsidTr="006C52DF">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18028FB0"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Ley 2320 de 2023</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3650C42D" w14:textId="77777777" w:rsidR="00825D4D" w:rsidRPr="0081375C" w:rsidRDefault="00806784"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Fortalece el Art. 111 de la Ley 99.</w:t>
            </w:r>
          </w:p>
        </w:tc>
      </w:tr>
      <w:tr w:rsidR="00825D4D" w:rsidRPr="0081375C" w14:paraId="6DA0EC6E" w14:textId="77777777" w:rsidTr="006C52DF">
        <w:trPr>
          <w:trHeight w:val="20"/>
        </w:trPr>
        <w:tc>
          <w:tcPr>
            <w:tcW w:w="2544" w:type="dxa"/>
            <w:tcBorders>
              <w:top w:val="single" w:sz="6" w:space="0" w:color="CCCCCC"/>
              <w:left w:val="single" w:sz="6" w:space="0" w:color="000000" w:themeColor="text1"/>
              <w:bottom w:val="single" w:sz="6" w:space="0" w:color="CCCCCC"/>
              <w:right w:val="single" w:sz="6" w:space="0" w:color="000000" w:themeColor="text1"/>
            </w:tcBorders>
            <w:vAlign w:val="center"/>
          </w:tcPr>
          <w:p w14:paraId="5C41DAB6" w14:textId="1B022425"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Plan de Desarrollo 2024-2027 "Medellín te quiere"</w:t>
            </w:r>
          </w:p>
        </w:tc>
        <w:tc>
          <w:tcPr>
            <w:tcW w:w="6237" w:type="dxa"/>
            <w:tcBorders>
              <w:top w:val="single" w:sz="6" w:space="0" w:color="CCCCCC"/>
              <w:left w:val="single" w:sz="6" w:space="0" w:color="CCCCCC"/>
              <w:bottom w:val="single" w:sz="6" w:space="0" w:color="CCCCCC"/>
              <w:right w:val="single" w:sz="6" w:space="0" w:color="000000" w:themeColor="text1"/>
            </w:tcBorders>
            <w:vAlign w:val="center"/>
          </w:tcPr>
          <w:p w14:paraId="22F35F6F" w14:textId="77777777" w:rsidR="00825D4D" w:rsidRPr="0081375C" w:rsidRDefault="00806784" w:rsidP="00C35122">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Define las metas de hectáreas bajo conservación y presupuesto asignado para el cuatrienio actual.</w:t>
            </w:r>
          </w:p>
        </w:tc>
      </w:tr>
      <w:tr w:rsidR="00354268" w:rsidRPr="0081375C" w14:paraId="0A89181A" w14:textId="77777777" w:rsidTr="00601B56">
        <w:trPr>
          <w:trHeight w:val="20"/>
        </w:trPr>
        <w:tc>
          <w:tcPr>
            <w:tcW w:w="2544" w:type="dxa"/>
            <w:tcBorders>
              <w:top w:val="single" w:sz="6" w:space="0" w:color="CCCCCC"/>
              <w:left w:val="single" w:sz="6" w:space="0" w:color="000000" w:themeColor="text1"/>
              <w:bottom w:val="single" w:sz="6" w:space="0" w:color="000000" w:themeColor="text1"/>
              <w:right w:val="single" w:sz="6" w:space="0" w:color="000000" w:themeColor="text1"/>
            </w:tcBorders>
            <w:vAlign w:val="center"/>
          </w:tcPr>
          <w:p w14:paraId="783218AF" w14:textId="6126BED3" w:rsidR="00354268" w:rsidRPr="0081375C" w:rsidRDefault="000C235A" w:rsidP="00C35122">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Resolución No. 0000368 del 29 de noviembre de 2019</w:t>
            </w:r>
          </w:p>
        </w:tc>
        <w:tc>
          <w:tcPr>
            <w:tcW w:w="6237" w:type="dxa"/>
            <w:tcBorders>
              <w:top w:val="single" w:sz="6" w:space="0" w:color="CCCCCC"/>
              <w:left w:val="single" w:sz="6" w:space="0" w:color="CCCCCC"/>
              <w:bottom w:val="single" w:sz="6" w:space="0" w:color="000000" w:themeColor="text1"/>
              <w:right w:val="single" w:sz="6" w:space="0" w:color="000000" w:themeColor="text1"/>
            </w:tcBorders>
            <w:vAlign w:val="center"/>
          </w:tcPr>
          <w:p w14:paraId="4901E50C" w14:textId="2C428D87" w:rsidR="000C235A" w:rsidRPr="0081375C" w:rsidRDefault="000C235A" w:rsidP="000C235A">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Expedida conjuntamente por el Área Metropolitana del Valle de Aburrá (AMVA), CORANTIOQUIA y CORNARE, </w:t>
            </w:r>
            <w:r w:rsidRPr="0081375C">
              <w:rPr>
                <w:rFonts w:ascii="Arial" w:eastAsia="Arial" w:hAnsi="Arial" w:cs="Arial"/>
                <w:b/>
                <w:bCs/>
                <w:color w:val="000000" w:themeColor="text1"/>
                <w:sz w:val="20"/>
                <w:szCs w:val="20"/>
              </w:rPr>
              <w:t>“Por medio de la cual se adopta el Plan de Manejo Ambiental del Acuífero del Valle de Aburrá”</w:t>
            </w:r>
            <w:r w:rsidRPr="0081375C">
              <w:rPr>
                <w:rFonts w:ascii="Arial" w:eastAsia="Arial" w:hAnsi="Arial" w:cs="Arial"/>
                <w:color w:val="000000" w:themeColor="text1"/>
                <w:sz w:val="20"/>
                <w:szCs w:val="20"/>
              </w:rPr>
              <w:t>.</w:t>
            </w:r>
          </w:p>
          <w:p w14:paraId="34E9DB26" w14:textId="1624ACB2" w:rsidR="00354268" w:rsidRPr="0081375C" w:rsidRDefault="00354268" w:rsidP="00C35122">
            <w:pPr>
              <w:spacing w:line="23" w:lineRule="atLeast"/>
              <w:mirrorIndents/>
              <w:jc w:val="center"/>
              <w:rPr>
                <w:rFonts w:ascii="Arial" w:eastAsia="Arial" w:hAnsi="Arial" w:cs="Arial"/>
                <w:color w:val="000000" w:themeColor="text1"/>
                <w:sz w:val="20"/>
                <w:szCs w:val="20"/>
              </w:rPr>
            </w:pPr>
          </w:p>
        </w:tc>
      </w:tr>
    </w:tbl>
    <w:p w14:paraId="61BF406A" w14:textId="77777777" w:rsidR="00CD651A" w:rsidRPr="0081375C" w:rsidRDefault="00CD651A" w:rsidP="00CD651A">
      <w:pPr>
        <w:rPr>
          <w:rFonts w:ascii="Arial" w:hAnsi="Arial" w:cs="Arial"/>
        </w:rPr>
      </w:pPr>
      <w:bookmarkStart w:id="12" w:name="_Toc232154409"/>
    </w:p>
    <w:p w14:paraId="69CD54A6" w14:textId="17426A55" w:rsidR="00CD651A" w:rsidRPr="0081375C" w:rsidRDefault="00CD651A">
      <w:pPr>
        <w:rPr>
          <w:rFonts w:ascii="Arial" w:hAnsi="Arial" w:cs="Arial"/>
        </w:rPr>
      </w:pPr>
      <w:r w:rsidRPr="0081375C">
        <w:rPr>
          <w:rFonts w:ascii="Arial" w:hAnsi="Arial" w:cs="Arial"/>
        </w:rPr>
        <w:br w:type="page"/>
      </w:r>
    </w:p>
    <w:p w14:paraId="066C6CBD" w14:textId="36821096" w:rsidR="00825D4D" w:rsidRPr="0081375C" w:rsidRDefault="0D1FF98E" w:rsidP="7670D8C4">
      <w:pPr>
        <w:pStyle w:val="Ttulo1"/>
        <w:numPr>
          <w:ilvl w:val="0"/>
          <w:numId w:val="14"/>
        </w:numPr>
        <w:spacing w:before="0" w:after="0" w:line="23" w:lineRule="atLeast"/>
        <w:rPr>
          <w:rFonts w:ascii="Arial" w:eastAsia="Aptos" w:hAnsi="Arial" w:cs="Arial"/>
          <w:color w:val="000000" w:themeColor="text1"/>
        </w:rPr>
      </w:pPr>
      <w:bookmarkStart w:id="13" w:name="_Toc233304165"/>
      <w:r w:rsidRPr="0081375C">
        <w:rPr>
          <w:rFonts w:ascii="Arial" w:eastAsia="Arial" w:hAnsi="Arial" w:cs="Arial"/>
          <w:color w:val="000000" w:themeColor="text1"/>
        </w:rPr>
        <w:lastRenderedPageBreak/>
        <w:t>P</w:t>
      </w:r>
      <w:r w:rsidRPr="0081375C">
        <w:rPr>
          <w:rFonts w:ascii="Arial" w:eastAsia="Aptos" w:hAnsi="Arial" w:cs="Arial"/>
          <w:color w:val="000000" w:themeColor="text1"/>
        </w:rPr>
        <w:t xml:space="preserve">rocedimientos y </w:t>
      </w:r>
      <w:r w:rsidR="33F0391F" w:rsidRPr="0081375C">
        <w:rPr>
          <w:rFonts w:ascii="Arial" w:eastAsia="Aptos" w:hAnsi="Arial" w:cs="Arial"/>
          <w:color w:val="000000" w:themeColor="text1"/>
        </w:rPr>
        <w:t>A</w:t>
      </w:r>
      <w:r w:rsidRPr="0081375C">
        <w:rPr>
          <w:rFonts w:ascii="Arial" w:eastAsia="Aptos" w:hAnsi="Arial" w:cs="Arial"/>
          <w:color w:val="000000" w:themeColor="text1"/>
        </w:rPr>
        <w:t xml:space="preserve">ctividades para la </w:t>
      </w:r>
      <w:r w:rsidR="7CD532E9" w:rsidRPr="0081375C">
        <w:rPr>
          <w:rFonts w:ascii="Arial" w:eastAsia="Aptos" w:hAnsi="Arial" w:cs="Arial"/>
          <w:color w:val="000000" w:themeColor="text1"/>
        </w:rPr>
        <w:t>I</w:t>
      </w:r>
      <w:r w:rsidRPr="0081375C">
        <w:rPr>
          <w:rFonts w:ascii="Arial" w:eastAsia="Aptos" w:hAnsi="Arial" w:cs="Arial"/>
          <w:color w:val="000000" w:themeColor="text1"/>
        </w:rPr>
        <w:t xml:space="preserve">mplementación de </w:t>
      </w:r>
      <w:r w:rsidR="70FEF0B0" w:rsidRPr="0081375C">
        <w:rPr>
          <w:rFonts w:ascii="Arial" w:eastAsia="Aptos" w:hAnsi="Arial" w:cs="Arial"/>
          <w:color w:val="000000" w:themeColor="text1"/>
        </w:rPr>
        <w:t>E</w:t>
      </w:r>
      <w:r w:rsidRPr="0081375C">
        <w:rPr>
          <w:rFonts w:ascii="Arial" w:eastAsia="Aptos" w:hAnsi="Arial" w:cs="Arial"/>
          <w:color w:val="000000" w:themeColor="text1"/>
        </w:rPr>
        <w:t>squemas de Pago por Servicios Ambientales</w:t>
      </w:r>
      <w:bookmarkEnd w:id="12"/>
      <w:bookmarkEnd w:id="13"/>
    </w:p>
    <w:p w14:paraId="5C88EA23" w14:textId="77777777" w:rsidR="00CD651A" w:rsidRPr="0081375C" w:rsidRDefault="00CD651A" w:rsidP="00CD651A">
      <w:pPr>
        <w:rPr>
          <w:rFonts w:ascii="Arial" w:hAnsi="Arial" w:cs="Arial"/>
        </w:rPr>
      </w:pPr>
    </w:p>
    <w:p w14:paraId="387B2441" w14:textId="6B6B08B1" w:rsidR="00825D4D" w:rsidRPr="0081375C" w:rsidRDefault="608C8B8C" w:rsidP="7670D8C4">
      <w:pPr>
        <w:pStyle w:val="Prrafodelista"/>
        <w:spacing w:line="23" w:lineRule="atLeast"/>
        <w:ind w:left="0"/>
        <w:contextualSpacing w:val="0"/>
        <w:jc w:val="both"/>
        <w:rPr>
          <w:rFonts w:ascii="Arial" w:eastAsia="Arial" w:hAnsi="Arial" w:cs="Arial"/>
          <w:color w:val="000000" w:themeColor="text1"/>
        </w:rPr>
      </w:pPr>
      <w:r w:rsidRPr="0081375C">
        <w:rPr>
          <w:rFonts w:ascii="Arial" w:eastAsia="Arial" w:hAnsi="Arial" w:cs="Arial"/>
          <w:color w:val="000000" w:themeColor="text1"/>
        </w:rPr>
        <w:t xml:space="preserve">En la figura 1 se presenta el flujograma en el que se plasman cada una de las etapas para la implementación, ejecución y seguimiento del PSA. Las actividades indicadas en rojo tienen variaciones contextuales según la modalidad de implementación; las azules son invariantes, independiente de la modalidad. </w:t>
      </w:r>
      <w:r w:rsidR="5FC675C1" w:rsidRPr="0081375C">
        <w:rPr>
          <w:rFonts w:ascii="Arial" w:eastAsia="Arial" w:hAnsi="Arial" w:cs="Arial"/>
          <w:color w:val="000000" w:themeColor="text1"/>
        </w:rPr>
        <w:t>Cada fase produce insumos específicos que condicionan el inicio de la siguiente; ninguna puede ejecutarse sin los productos formales de la fase precedente. Este procedimiento se podrá aplicar para cualquier modalidad de PSA.</w:t>
      </w:r>
    </w:p>
    <w:p w14:paraId="7504AE8B" w14:textId="77777777" w:rsidR="00CD651A" w:rsidRPr="0081375C" w:rsidRDefault="00CD651A" w:rsidP="003F6B53">
      <w:pPr>
        <w:pStyle w:val="Prrafodelista"/>
        <w:spacing w:line="23" w:lineRule="atLeast"/>
        <w:ind w:left="0"/>
        <w:contextualSpacing w:val="0"/>
        <w:jc w:val="both"/>
        <w:rPr>
          <w:rFonts w:ascii="Arial" w:eastAsia="Arial" w:hAnsi="Arial" w:cs="Arial"/>
          <w:bCs/>
          <w:color w:val="000000" w:themeColor="text1"/>
        </w:rPr>
      </w:pPr>
    </w:p>
    <w:p w14:paraId="67F835BA" w14:textId="1454E981" w:rsidR="00825D4D" w:rsidRPr="0081375C" w:rsidRDefault="011C1A89" w:rsidP="003F6B53">
      <w:pPr>
        <w:pStyle w:val="Prrafodelista"/>
        <w:keepNext/>
        <w:spacing w:line="23" w:lineRule="atLeast"/>
        <w:ind w:left="0"/>
        <w:contextualSpacing w:val="0"/>
        <w:jc w:val="both"/>
      </w:pPr>
      <w:r w:rsidRPr="0081375C">
        <w:rPr>
          <w:noProof/>
        </w:rPr>
        <w:drawing>
          <wp:inline distT="0" distB="0" distL="0" distR="0" wp14:anchorId="1FE6CBC7" wp14:editId="0599C300">
            <wp:extent cx="5629275" cy="2824377"/>
            <wp:effectExtent l="0" t="0" r="0" b="0"/>
            <wp:docPr id="1312309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09853" name="Picture 1312309853"/>
                    <pic:cNvPicPr/>
                  </pic:nvPicPr>
                  <pic:blipFill>
                    <a:blip r:embed="rId16">
                      <a:extLst>
                        <a:ext uri="{28A0092B-C50C-407E-A947-70E740481C1C}">
                          <a14:useLocalDpi xmlns:a14="http://schemas.microsoft.com/office/drawing/2010/main"/>
                        </a:ext>
                      </a:extLst>
                    </a:blip>
                    <a:stretch>
                      <a:fillRect/>
                    </a:stretch>
                  </pic:blipFill>
                  <pic:spPr>
                    <a:xfrm>
                      <a:off x="0" y="0"/>
                      <a:ext cx="5629275" cy="2824377"/>
                    </a:xfrm>
                    <a:prstGeom prst="rect">
                      <a:avLst/>
                    </a:prstGeom>
                  </pic:spPr>
                </pic:pic>
              </a:graphicData>
            </a:graphic>
          </wp:inline>
        </w:drawing>
      </w:r>
    </w:p>
    <w:p w14:paraId="38322079" w14:textId="39DD4D13" w:rsidR="00825D4D" w:rsidRPr="0081375C" w:rsidRDefault="1E1F12CE" w:rsidP="66B021CF">
      <w:pPr>
        <w:pStyle w:val="Descripcin"/>
        <w:spacing w:after="0" w:line="23" w:lineRule="atLeast"/>
        <w:jc w:val="both"/>
        <w:rPr>
          <w:rFonts w:ascii="Arial" w:hAnsi="Arial" w:cs="Arial"/>
          <w:b/>
          <w:bCs/>
          <w:i w:val="0"/>
          <w:iCs w:val="0"/>
          <w:color w:val="000000" w:themeColor="text1"/>
          <w:sz w:val="20"/>
          <w:szCs w:val="20"/>
        </w:rPr>
      </w:pPr>
      <w:bookmarkStart w:id="14" w:name="_Toc233018493"/>
      <w:r w:rsidRPr="0081375C">
        <w:rPr>
          <w:rFonts w:ascii="Arial" w:hAnsi="Arial" w:cs="Arial"/>
          <w:b/>
          <w:bCs/>
          <w:i w:val="0"/>
          <w:iCs w:val="0"/>
          <w:color w:val="000000" w:themeColor="text1"/>
          <w:sz w:val="20"/>
          <w:szCs w:val="20"/>
        </w:rPr>
        <w:t xml:space="preserve">Figura </w:t>
      </w:r>
      <w:r w:rsidR="00806784" w:rsidRPr="0081375C">
        <w:rPr>
          <w:rFonts w:ascii="Arial" w:hAnsi="Arial" w:cs="Arial"/>
          <w:b/>
          <w:bCs/>
          <w:i w:val="0"/>
          <w:iCs w:val="0"/>
          <w:color w:val="000000" w:themeColor="text1"/>
          <w:sz w:val="20"/>
          <w:szCs w:val="20"/>
        </w:rPr>
        <w:fldChar w:fldCharType="begin"/>
      </w:r>
      <w:r w:rsidR="00806784" w:rsidRPr="0081375C">
        <w:rPr>
          <w:rFonts w:ascii="Arial" w:hAnsi="Arial" w:cs="Arial"/>
          <w:b/>
          <w:bCs/>
          <w:i w:val="0"/>
          <w:iCs w:val="0"/>
          <w:color w:val="000000" w:themeColor="text1"/>
          <w:sz w:val="20"/>
          <w:szCs w:val="20"/>
        </w:rPr>
        <w:instrText xml:space="preserve"> SEQ Figura \* ARABIC </w:instrText>
      </w:r>
      <w:r w:rsidR="00806784" w:rsidRPr="0081375C">
        <w:rPr>
          <w:rFonts w:ascii="Arial" w:hAnsi="Arial" w:cs="Arial"/>
          <w:b/>
          <w:bCs/>
          <w:i w:val="0"/>
          <w:iCs w:val="0"/>
          <w:color w:val="000000" w:themeColor="text1"/>
          <w:sz w:val="20"/>
          <w:szCs w:val="20"/>
        </w:rPr>
        <w:fldChar w:fldCharType="separate"/>
      </w:r>
      <w:r w:rsidR="008A5833" w:rsidRPr="0081375C">
        <w:rPr>
          <w:rFonts w:ascii="Arial" w:hAnsi="Arial" w:cs="Arial"/>
          <w:b/>
          <w:bCs/>
          <w:i w:val="0"/>
          <w:iCs w:val="0"/>
          <w:noProof/>
          <w:color w:val="000000" w:themeColor="text1"/>
          <w:sz w:val="20"/>
          <w:szCs w:val="20"/>
        </w:rPr>
        <w:t>1</w:t>
      </w:r>
      <w:r w:rsidR="00806784" w:rsidRPr="0081375C">
        <w:rPr>
          <w:rFonts w:ascii="Arial" w:hAnsi="Arial" w:cs="Arial"/>
          <w:b/>
          <w:bCs/>
          <w:i w:val="0"/>
          <w:iCs w:val="0"/>
          <w:color w:val="000000" w:themeColor="text1"/>
          <w:sz w:val="20"/>
          <w:szCs w:val="20"/>
        </w:rPr>
        <w:fldChar w:fldCharType="end"/>
      </w:r>
      <w:r w:rsidRPr="0081375C">
        <w:rPr>
          <w:rFonts w:ascii="Arial" w:hAnsi="Arial" w:cs="Arial"/>
          <w:b/>
          <w:bCs/>
          <w:i w:val="0"/>
          <w:iCs w:val="0"/>
          <w:color w:val="000000" w:themeColor="text1"/>
          <w:sz w:val="20"/>
          <w:szCs w:val="20"/>
        </w:rPr>
        <w:t xml:space="preserve">. Flujograma para la </w:t>
      </w:r>
      <w:r w:rsidR="7863E9D6" w:rsidRPr="0081375C">
        <w:rPr>
          <w:rFonts w:ascii="Arial" w:hAnsi="Arial" w:cs="Arial"/>
          <w:b/>
          <w:bCs/>
          <w:i w:val="0"/>
          <w:iCs w:val="0"/>
          <w:color w:val="000000" w:themeColor="text1"/>
          <w:sz w:val="20"/>
          <w:szCs w:val="20"/>
        </w:rPr>
        <w:t>I</w:t>
      </w:r>
      <w:r w:rsidRPr="0081375C">
        <w:rPr>
          <w:rFonts w:ascii="Arial" w:hAnsi="Arial" w:cs="Arial"/>
          <w:b/>
          <w:bCs/>
          <w:i w:val="0"/>
          <w:iCs w:val="0"/>
          <w:color w:val="000000" w:themeColor="text1"/>
          <w:sz w:val="20"/>
          <w:szCs w:val="20"/>
        </w:rPr>
        <w:t xml:space="preserve">mplementación de </w:t>
      </w:r>
      <w:r w:rsidR="10332264" w:rsidRPr="0081375C">
        <w:rPr>
          <w:rFonts w:ascii="Arial" w:hAnsi="Arial" w:cs="Arial"/>
          <w:b/>
          <w:bCs/>
          <w:i w:val="0"/>
          <w:iCs w:val="0"/>
          <w:color w:val="000000" w:themeColor="text1"/>
          <w:sz w:val="20"/>
          <w:szCs w:val="20"/>
        </w:rPr>
        <w:t>E</w:t>
      </w:r>
      <w:r w:rsidRPr="0081375C">
        <w:rPr>
          <w:rFonts w:ascii="Arial" w:hAnsi="Arial" w:cs="Arial"/>
          <w:b/>
          <w:bCs/>
          <w:i w:val="0"/>
          <w:iCs w:val="0"/>
          <w:color w:val="000000" w:themeColor="text1"/>
          <w:sz w:val="20"/>
          <w:szCs w:val="20"/>
        </w:rPr>
        <w:t>squemas de PSA en el Distrito de Medellín</w:t>
      </w:r>
      <w:bookmarkEnd w:id="14"/>
    </w:p>
    <w:p w14:paraId="70B7EC51" w14:textId="354CE406" w:rsidR="00CD651A" w:rsidRPr="0081375C" w:rsidRDefault="00CD651A" w:rsidP="7670D8C4">
      <w:pPr>
        <w:pStyle w:val="Prrafodelista"/>
        <w:spacing w:line="23" w:lineRule="atLeast"/>
        <w:contextualSpacing w:val="0"/>
        <w:rPr>
          <w:rFonts w:ascii="Arial" w:hAnsi="Arial" w:cs="Arial"/>
        </w:rPr>
      </w:pPr>
    </w:p>
    <w:p w14:paraId="0D171294" w14:textId="60C7C321" w:rsidR="00825D4D" w:rsidRPr="0081375C" w:rsidRDefault="608C8B8C" w:rsidP="7670D8C4">
      <w:pPr>
        <w:pStyle w:val="Prrafodelista"/>
        <w:spacing w:line="23" w:lineRule="atLeast"/>
        <w:ind w:left="0"/>
        <w:contextualSpacing w:val="0"/>
        <w:jc w:val="both"/>
        <w:rPr>
          <w:rFonts w:ascii="Arial" w:eastAsia="Arial" w:hAnsi="Arial" w:cs="Arial"/>
          <w:color w:val="000000" w:themeColor="text1"/>
        </w:rPr>
      </w:pPr>
      <w:r w:rsidRPr="0081375C">
        <w:rPr>
          <w:rFonts w:ascii="Arial" w:eastAsia="Arial" w:hAnsi="Arial" w:cs="Arial"/>
          <w:color w:val="000000" w:themeColor="text1"/>
        </w:rPr>
        <w:t xml:space="preserve">La documentación que emane del procedimiento descrito a continuación podrá ser recibida tanto física como virtualmente, a través de los medios que </w:t>
      </w:r>
      <w:r w:rsidR="487958CD" w:rsidRPr="0081375C">
        <w:rPr>
          <w:rFonts w:ascii="Arial" w:eastAsia="Arial" w:hAnsi="Arial" w:cs="Arial"/>
          <w:color w:val="000000" w:themeColor="text1"/>
        </w:rPr>
        <w:t>se establezcan</w:t>
      </w:r>
      <w:r w:rsidRPr="0081375C">
        <w:rPr>
          <w:rFonts w:ascii="Arial" w:eastAsia="Arial" w:hAnsi="Arial" w:cs="Arial"/>
          <w:color w:val="000000" w:themeColor="text1"/>
        </w:rPr>
        <w:t>, además deberá de contar con la capacidad técnica y operativa de entregar formatos de recibido de documentación y cualquier otro necesario en el proceso, en todo caso deberá de entregar la totalidad de la documentación digitalizada a la SMA.</w:t>
      </w:r>
    </w:p>
    <w:p w14:paraId="083D41EE" w14:textId="7F7FF2DF" w:rsidR="00BA7CE7" w:rsidRPr="0081375C" w:rsidRDefault="00BA7CE7">
      <w:pPr>
        <w:rPr>
          <w:rFonts w:ascii="Arial" w:eastAsia="Arial" w:hAnsi="Arial" w:cs="Arial"/>
          <w:bCs/>
          <w:color w:val="000000" w:themeColor="text1"/>
        </w:rPr>
      </w:pPr>
      <w:r w:rsidRPr="0081375C">
        <w:rPr>
          <w:rFonts w:ascii="Arial" w:eastAsia="Arial" w:hAnsi="Arial" w:cs="Arial"/>
          <w:bCs/>
          <w:color w:val="000000" w:themeColor="text1"/>
        </w:rPr>
        <w:br w:type="page"/>
      </w:r>
    </w:p>
    <w:p w14:paraId="618C1B53" w14:textId="20EBBF53" w:rsidR="00825D4D" w:rsidRPr="0081375C" w:rsidRDefault="0D1FF98E" w:rsidP="7670D8C4">
      <w:pPr>
        <w:pStyle w:val="Ttulo2"/>
        <w:numPr>
          <w:ilvl w:val="1"/>
          <w:numId w:val="14"/>
        </w:numPr>
        <w:spacing w:before="0" w:line="23" w:lineRule="atLeast"/>
        <w:rPr>
          <w:rFonts w:ascii="Arial" w:eastAsia="Aptos" w:hAnsi="Arial" w:cs="Arial"/>
          <w:color w:val="000000" w:themeColor="text1"/>
        </w:rPr>
      </w:pPr>
      <w:bookmarkStart w:id="15" w:name="_Toc232154410"/>
      <w:bookmarkStart w:id="16" w:name="_Toc233304166"/>
      <w:r w:rsidRPr="0081375C">
        <w:rPr>
          <w:rFonts w:ascii="Arial" w:eastAsia="Aptos" w:hAnsi="Arial" w:cs="Arial"/>
          <w:color w:val="000000" w:themeColor="text1"/>
        </w:rPr>
        <w:lastRenderedPageBreak/>
        <w:t xml:space="preserve">Etapa de </w:t>
      </w:r>
      <w:r w:rsidR="0D65557E" w:rsidRPr="0081375C">
        <w:rPr>
          <w:rFonts w:ascii="Arial" w:eastAsia="Aptos" w:hAnsi="Arial" w:cs="Arial"/>
          <w:color w:val="000000" w:themeColor="text1"/>
        </w:rPr>
        <w:t>I</w:t>
      </w:r>
      <w:r w:rsidRPr="0081375C">
        <w:rPr>
          <w:rFonts w:ascii="Arial" w:eastAsia="Aptos" w:hAnsi="Arial" w:cs="Arial"/>
          <w:color w:val="000000" w:themeColor="text1"/>
        </w:rPr>
        <w:t>mplementación</w:t>
      </w:r>
      <w:bookmarkEnd w:id="15"/>
      <w:bookmarkEnd w:id="16"/>
    </w:p>
    <w:p w14:paraId="5C041F92" w14:textId="77777777" w:rsidR="00CD651A" w:rsidRPr="0081375C" w:rsidRDefault="00CD651A" w:rsidP="00CD651A">
      <w:pPr>
        <w:rPr>
          <w:rFonts w:ascii="Arial" w:hAnsi="Arial" w:cs="Arial"/>
        </w:rPr>
      </w:pPr>
    </w:p>
    <w:p w14:paraId="40EC3B5F" w14:textId="6ACA5B61" w:rsidR="608C8B8C" w:rsidRPr="0081375C" w:rsidRDefault="608C8B8C" w:rsidP="7670D8C4">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etapa de implementación es el inicio de cualquier proyecto de PSA, </w:t>
      </w:r>
      <w:r w:rsidR="73A561EA" w:rsidRPr="0081375C">
        <w:rPr>
          <w:rFonts w:ascii="Arial" w:eastAsia="Arial" w:hAnsi="Arial" w:cs="Arial"/>
          <w:color w:val="000000" w:themeColor="text1"/>
        </w:rPr>
        <w:t xml:space="preserve">comprende cuatro fases secuenciales: la delimitación del área de intervención y la </w:t>
      </w:r>
      <w:r w:rsidR="73A561EA" w:rsidRPr="0081375C">
        <w:rPr>
          <w:rFonts w:ascii="Arial" w:hAnsi="Arial"/>
          <w:color w:val="000000" w:themeColor="text1"/>
        </w:rPr>
        <w:t>priorización</w:t>
      </w:r>
      <w:r w:rsidR="73A561EA" w:rsidRPr="0081375C">
        <w:rPr>
          <w:rFonts w:ascii="Arial" w:eastAsia="Arial" w:hAnsi="Arial" w:cs="Arial"/>
          <w:color w:val="000000" w:themeColor="text1"/>
        </w:rPr>
        <w:t xml:space="preserve"> de áreas y predios, la apertura y gestión de la convocatoria pública, la evaluación de postulaciones y la selección de áreas, y la formalización de los acuerdos con los propietarios o poseedores seleccionados.</w:t>
      </w:r>
    </w:p>
    <w:p w14:paraId="31A5432C" w14:textId="31F03EAF" w:rsidR="7670D8C4" w:rsidRPr="0081375C" w:rsidRDefault="7670D8C4" w:rsidP="7670D8C4">
      <w:pPr>
        <w:spacing w:line="23" w:lineRule="atLeast"/>
        <w:jc w:val="both"/>
        <w:rPr>
          <w:rFonts w:ascii="Arial" w:eastAsia="Arial" w:hAnsi="Arial" w:cs="Arial"/>
          <w:color w:val="000000" w:themeColor="text1"/>
        </w:rPr>
      </w:pPr>
    </w:p>
    <w:p w14:paraId="2C20F6F3" w14:textId="1A67B418" w:rsidR="00825D4D" w:rsidRPr="0081375C" w:rsidRDefault="0D1FF98E" w:rsidP="7670D8C4">
      <w:pPr>
        <w:pStyle w:val="Ttulo3"/>
        <w:numPr>
          <w:ilvl w:val="2"/>
          <w:numId w:val="14"/>
        </w:numPr>
        <w:spacing w:beforeAutospacing="0" w:afterAutospacing="0" w:line="23" w:lineRule="atLeast"/>
        <w:rPr>
          <w:color w:val="000000" w:themeColor="text1"/>
          <w:lang w:val="es-CO"/>
        </w:rPr>
      </w:pPr>
      <w:bookmarkStart w:id="17" w:name="_Toc232154411"/>
      <w:bookmarkStart w:id="18" w:name="_Toc233304167"/>
      <w:r w:rsidRPr="0081375C">
        <w:rPr>
          <w:color w:val="000000" w:themeColor="text1"/>
          <w:lang w:val="es-CO"/>
        </w:rPr>
        <w:t xml:space="preserve">Delimitación </w:t>
      </w:r>
      <w:r w:rsidR="07C306EA" w:rsidRPr="0081375C">
        <w:rPr>
          <w:color w:val="000000" w:themeColor="text1"/>
          <w:lang w:val="es-CO"/>
        </w:rPr>
        <w:t xml:space="preserve">del </w:t>
      </w:r>
      <w:r w:rsidR="1158FA02" w:rsidRPr="0081375C">
        <w:rPr>
          <w:color w:val="000000" w:themeColor="text1"/>
          <w:lang w:val="es-CO"/>
        </w:rPr>
        <w:t>E</w:t>
      </w:r>
      <w:r w:rsidR="07C306EA" w:rsidRPr="0081375C">
        <w:rPr>
          <w:color w:val="000000" w:themeColor="text1"/>
          <w:lang w:val="es-CO"/>
        </w:rPr>
        <w:t xml:space="preserve">cosistema </w:t>
      </w:r>
      <w:r w:rsidR="407EE062" w:rsidRPr="0081375C">
        <w:rPr>
          <w:color w:val="000000" w:themeColor="text1"/>
          <w:lang w:val="es-CO"/>
        </w:rPr>
        <w:t>E</w:t>
      </w:r>
      <w:r w:rsidR="07C306EA" w:rsidRPr="0081375C">
        <w:rPr>
          <w:color w:val="000000" w:themeColor="text1"/>
          <w:lang w:val="es-CO"/>
        </w:rPr>
        <w:t xml:space="preserve">stratégico </w:t>
      </w:r>
      <w:r w:rsidRPr="0081375C">
        <w:rPr>
          <w:color w:val="000000" w:themeColor="text1"/>
          <w:lang w:val="es-CO"/>
        </w:rPr>
        <w:t xml:space="preserve">y </w:t>
      </w:r>
      <w:r w:rsidR="3F08E9AF" w:rsidRPr="0081375C">
        <w:rPr>
          <w:color w:val="000000" w:themeColor="text1"/>
          <w:lang w:val="es-CO"/>
        </w:rPr>
        <w:t>P</w:t>
      </w:r>
      <w:r w:rsidRPr="0081375C">
        <w:rPr>
          <w:color w:val="000000" w:themeColor="text1"/>
          <w:lang w:val="es-CO"/>
        </w:rPr>
        <w:t xml:space="preserve">riorización de </w:t>
      </w:r>
      <w:r w:rsidR="7AAA7555" w:rsidRPr="0081375C">
        <w:rPr>
          <w:color w:val="000000" w:themeColor="text1"/>
          <w:lang w:val="es-CO"/>
        </w:rPr>
        <w:t>Á</w:t>
      </w:r>
      <w:r w:rsidRPr="0081375C">
        <w:rPr>
          <w:color w:val="000000" w:themeColor="text1"/>
          <w:lang w:val="es-CO"/>
        </w:rPr>
        <w:t>reas</w:t>
      </w:r>
      <w:bookmarkEnd w:id="17"/>
      <w:bookmarkEnd w:id="18"/>
    </w:p>
    <w:p w14:paraId="5B53AA73" w14:textId="77777777" w:rsidR="00CD651A" w:rsidRPr="0081375C" w:rsidRDefault="00CD651A" w:rsidP="00CD651A">
      <w:pPr>
        <w:rPr>
          <w:rFonts w:ascii="Arial" w:hAnsi="Arial" w:cs="Arial"/>
        </w:rPr>
      </w:pPr>
    </w:p>
    <w:p w14:paraId="07AE8280" w14:textId="4C0B4EDE"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Esta sección define las dos actividades iniciales del ciclo: la delimitación del área donde operará el esquema y la priorización de l</w:t>
      </w:r>
      <w:r w:rsidR="1A7B2E1F" w:rsidRPr="0081375C">
        <w:rPr>
          <w:rFonts w:ascii="Arial" w:hAnsi="Arial" w:cs="Arial"/>
          <w:color w:val="000000" w:themeColor="text1"/>
        </w:rPr>
        <w:t>as áreas</w:t>
      </w:r>
      <w:r w:rsidRPr="0081375C">
        <w:rPr>
          <w:rFonts w:ascii="Arial" w:hAnsi="Arial" w:cs="Arial"/>
          <w:color w:val="000000" w:themeColor="text1"/>
        </w:rPr>
        <w:t xml:space="preserve"> que la integran. La delimitación parte del polígono de áreas y ecosistemas estratégicos aprobado por la autoridad ambiental, sobre el cual la Secretaría de Medio Ambiente </w:t>
      </w:r>
      <w:r w:rsidR="5A15FB5B" w:rsidRPr="0081375C">
        <w:rPr>
          <w:rFonts w:ascii="Arial" w:hAnsi="Arial" w:cs="Arial"/>
          <w:color w:val="000000" w:themeColor="text1"/>
        </w:rPr>
        <w:t>tiene la facultad, si lo considera pertinente, de seleccionar</w:t>
      </w:r>
      <w:r w:rsidRPr="0081375C">
        <w:rPr>
          <w:rFonts w:ascii="Arial" w:hAnsi="Arial" w:cs="Arial"/>
          <w:color w:val="000000" w:themeColor="text1"/>
        </w:rPr>
        <w:t xml:space="preserve"> el polígono específico de implementación. El resultado es la capa territorial que sirve de punto de partida a la priorización predial.</w:t>
      </w:r>
    </w:p>
    <w:p w14:paraId="61CEB2B2" w14:textId="3457BFD9" w:rsidR="751229EA" w:rsidRPr="0081375C" w:rsidRDefault="751229EA" w:rsidP="751229EA">
      <w:pPr>
        <w:spacing w:line="23" w:lineRule="atLeast"/>
        <w:jc w:val="both"/>
        <w:rPr>
          <w:rFonts w:ascii="Arial" w:hAnsi="Arial" w:cs="Arial"/>
          <w:color w:val="000000" w:themeColor="text1"/>
        </w:rPr>
      </w:pPr>
    </w:p>
    <w:p w14:paraId="739C1BCD" w14:textId="5EE3424F" w:rsidR="0AF74FE5" w:rsidRPr="0081375C" w:rsidRDefault="0AF74FE5" w:rsidP="751229EA">
      <w:pPr>
        <w:spacing w:line="23" w:lineRule="atLeast"/>
        <w:jc w:val="both"/>
        <w:rPr>
          <w:rFonts w:ascii="Arial" w:hAnsi="Arial" w:cs="Arial"/>
          <w:color w:val="000000" w:themeColor="text1"/>
        </w:rPr>
      </w:pPr>
      <w:r w:rsidRPr="0081375C">
        <w:rPr>
          <w:rFonts w:ascii="Arial" w:hAnsi="Arial" w:cs="Arial"/>
          <w:color w:val="000000" w:themeColor="text1"/>
        </w:rPr>
        <w:t>Primero, se define el polígono de las áreas elegibles aprobadas</w:t>
      </w:r>
      <w:r w:rsidRPr="0081375C">
        <w:rPr>
          <w:rFonts w:ascii="Arial" w:hAnsi="Arial" w:cs="Arial"/>
        </w:rPr>
        <w:t xml:space="preserve"> </w:t>
      </w:r>
      <w:r w:rsidR="00354268" w:rsidRPr="0081375C">
        <w:rPr>
          <w:rFonts w:ascii="Arial" w:hAnsi="Arial" w:cs="Arial"/>
        </w:rPr>
        <w:t>previamente</w:t>
      </w:r>
      <w:r w:rsidR="00354268" w:rsidRPr="0081375C">
        <w:rPr>
          <w:rFonts w:ascii="Arial" w:hAnsi="Arial"/>
        </w:rPr>
        <w:t xml:space="preserve"> </w:t>
      </w:r>
      <w:r w:rsidRPr="0081375C">
        <w:rPr>
          <w:rFonts w:ascii="Arial" w:hAnsi="Arial" w:cs="Arial"/>
          <w:color w:val="000000" w:themeColor="text1"/>
        </w:rPr>
        <w:t xml:space="preserve">por la autoridad ambiental, la cual se conoce desde la norma de PSA como áreas y ecosistemas estratégicos. Al respecto, es necesario indicar que para las áreas de interés para acueductos contempladas en el artículo 111 de la Ley 2320 de 2023, es estrictamente necesario contar con esta delimitación por parte de la autoridad ambiental competente, mencionando que </w:t>
      </w:r>
      <w:r w:rsidRPr="0081375C">
        <w:rPr>
          <w:rFonts w:ascii="Arial" w:hAnsi="Arial"/>
          <w:i/>
          <w:color w:val="000000" w:themeColor="text1"/>
        </w:rPr>
        <w:t>“Las autoridades ambientales o administrativas correspondientes deberán actualizar el inventario de las áreas prioritarias a ser adquiridas o intervenidas con estos recursos o donde se deben implementar los esquemas por pagos de servicios ambientales …..”</w:t>
      </w:r>
      <w:r w:rsidRPr="0081375C">
        <w:rPr>
          <w:rFonts w:ascii="Arial" w:hAnsi="Arial" w:cs="Arial"/>
          <w:color w:val="000000" w:themeColor="text1"/>
        </w:rPr>
        <w:t xml:space="preserve"> A continuación, se aplica la priorización predial, que asigna un puntaje a cada predio elegible y produce el listado ordenado de predios sobre el que opera la convocatoria pública.</w:t>
      </w:r>
    </w:p>
    <w:p w14:paraId="14446C5A" w14:textId="77777777" w:rsidR="751229EA" w:rsidRPr="0081375C" w:rsidRDefault="751229EA" w:rsidP="751229EA">
      <w:pPr>
        <w:spacing w:line="23" w:lineRule="atLeast"/>
        <w:jc w:val="both"/>
        <w:rPr>
          <w:rFonts w:ascii="Arial" w:hAnsi="Arial" w:cs="Arial"/>
          <w:color w:val="000000" w:themeColor="text1"/>
        </w:rPr>
      </w:pPr>
    </w:p>
    <w:p w14:paraId="1FFDB42E" w14:textId="4AD171E5" w:rsidR="0AF74FE5" w:rsidRPr="0081375C" w:rsidRDefault="0AF74FE5" w:rsidP="751229EA">
      <w:pPr>
        <w:spacing w:line="23" w:lineRule="atLeast"/>
        <w:jc w:val="both"/>
        <w:rPr>
          <w:rFonts w:ascii="Arial" w:hAnsi="Arial" w:cs="Arial"/>
          <w:color w:val="000000" w:themeColor="text1"/>
        </w:rPr>
      </w:pPr>
      <w:r w:rsidRPr="0081375C">
        <w:rPr>
          <w:rFonts w:ascii="Arial" w:hAnsi="Arial" w:cs="Arial"/>
          <w:color w:val="000000" w:themeColor="text1"/>
        </w:rPr>
        <w:t xml:space="preserve">El Distrito de Medellín cuenta con la aprobación </w:t>
      </w:r>
      <w:r w:rsidR="001C0EC8" w:rsidRPr="0081375C">
        <w:rPr>
          <w:rFonts w:ascii="Arial" w:hAnsi="Arial" w:cs="Arial"/>
          <w:color w:val="000000" w:themeColor="text1"/>
        </w:rPr>
        <w:t xml:space="preserve">de la Corporación Autónoma Regional del Centro de Antioquia – </w:t>
      </w:r>
      <w:r w:rsidRPr="0081375C">
        <w:rPr>
          <w:rFonts w:ascii="Arial" w:hAnsi="Arial" w:cs="Arial"/>
          <w:color w:val="000000" w:themeColor="text1"/>
        </w:rPr>
        <w:t xml:space="preserve">CORANTIOQUIA </w:t>
      </w:r>
      <w:r w:rsidR="001C0EC8" w:rsidRPr="0081375C">
        <w:rPr>
          <w:rFonts w:ascii="Arial" w:hAnsi="Arial" w:cs="Arial"/>
          <w:color w:val="000000" w:themeColor="text1"/>
        </w:rPr>
        <w:t xml:space="preserve">respecto de las áreas </w:t>
      </w:r>
      <w:r w:rsidR="00213A7F" w:rsidRPr="0081375C">
        <w:rPr>
          <w:rFonts w:ascii="Arial" w:hAnsi="Arial" w:cs="Arial"/>
          <w:color w:val="000000" w:themeColor="text1"/>
        </w:rPr>
        <w:t xml:space="preserve">susceptibles </w:t>
      </w:r>
      <w:r w:rsidR="001C0EC8" w:rsidRPr="0081375C">
        <w:rPr>
          <w:rFonts w:ascii="Arial" w:hAnsi="Arial" w:cs="Arial"/>
          <w:color w:val="000000" w:themeColor="text1"/>
        </w:rPr>
        <w:t>para la adquisición de predios estratégicos para la conservación del recurso hídrico, así como de las áreas elegibles para la implementación del instrumento de Pago por Servicios Ambientales (PSA), mediante oficio con radicado No. 110-CO12309-26762 del 12 de septiembre de 2023.</w:t>
      </w:r>
      <w:r w:rsidR="00CE1A6D" w:rsidRPr="0081375C">
        <w:rPr>
          <w:rFonts w:ascii="Arial" w:hAnsi="Arial" w:cs="Arial"/>
          <w:color w:val="000000" w:themeColor="text1"/>
        </w:rPr>
        <w:t xml:space="preserve"> A través del referido acto, la autoridad ambiental competente reconoce las áreas </w:t>
      </w:r>
      <w:r w:rsidRPr="0081375C">
        <w:rPr>
          <w:rFonts w:ascii="Arial" w:hAnsi="Arial" w:cs="Arial"/>
          <w:color w:val="000000" w:themeColor="text1"/>
        </w:rPr>
        <w:t xml:space="preserve">elegibles para la implementación de PSA en las modalidades de regulación y calidad hídrica, así como las otras modalidades de PSA para la conservación de la biodiversidad, PSA de reducción y captura de gases efecto invernadero (GEI) y PSA culturales, espirituales y de recreación. </w:t>
      </w:r>
    </w:p>
    <w:p w14:paraId="1CDF52D2" w14:textId="676A7B6E" w:rsidR="751229EA" w:rsidRPr="0081375C" w:rsidRDefault="751229EA" w:rsidP="751229EA">
      <w:pPr>
        <w:spacing w:line="23" w:lineRule="atLeast"/>
        <w:jc w:val="both"/>
        <w:rPr>
          <w:rFonts w:ascii="Arial" w:hAnsi="Arial" w:cs="Arial"/>
          <w:color w:val="000000" w:themeColor="text1"/>
        </w:rPr>
      </w:pPr>
    </w:p>
    <w:p w14:paraId="79EE6170" w14:textId="0F805FA5" w:rsidR="0AF74FE5" w:rsidRPr="0081375C" w:rsidRDefault="0AF74FE5" w:rsidP="751229EA">
      <w:pPr>
        <w:spacing w:line="23" w:lineRule="atLeast"/>
        <w:jc w:val="both"/>
        <w:rPr>
          <w:rFonts w:ascii="Arial" w:hAnsi="Arial" w:cs="Arial"/>
          <w:color w:val="000000" w:themeColor="text1"/>
        </w:rPr>
      </w:pPr>
      <w:r w:rsidRPr="0081375C">
        <w:rPr>
          <w:rFonts w:ascii="Arial" w:hAnsi="Arial" w:cs="Arial"/>
          <w:color w:val="000000" w:themeColor="text1"/>
        </w:rPr>
        <w:t xml:space="preserve">En caso de ser requerido, dentro de ese universo de áreas aprobadas, la Secretaría de Medio Ambiente tiene la facultad de designar el polígono específico donde se implementará cada modalidad de PSA. La selección del polígono considera la capacidad </w:t>
      </w:r>
      <w:r w:rsidRPr="0081375C">
        <w:rPr>
          <w:rFonts w:ascii="Arial" w:hAnsi="Arial" w:cs="Arial"/>
          <w:color w:val="000000" w:themeColor="text1"/>
        </w:rPr>
        <w:lastRenderedPageBreak/>
        <w:t xml:space="preserve">operativa, los recursos presupuestales disponibles, las prioridades institucionales y los resultados de convocatorias anteriores. La Secretaría puede optar por una cobertura parcial con criterios justificados, dejando las áreas no seleccionadas disponibles para futuras convocatorias. </w:t>
      </w:r>
    </w:p>
    <w:p w14:paraId="74C99456" w14:textId="77777777" w:rsidR="751229EA" w:rsidRPr="0081375C" w:rsidRDefault="751229EA" w:rsidP="751229EA">
      <w:pPr>
        <w:spacing w:line="23" w:lineRule="atLeast"/>
        <w:jc w:val="both"/>
        <w:rPr>
          <w:rFonts w:ascii="Arial" w:hAnsi="Arial" w:cs="Arial"/>
          <w:color w:val="000000" w:themeColor="text1"/>
        </w:rPr>
      </w:pPr>
    </w:p>
    <w:p w14:paraId="64D25A4E" w14:textId="540357AA" w:rsidR="0AF74FE5" w:rsidRPr="0081375C" w:rsidRDefault="0AF74FE5" w:rsidP="751229EA">
      <w:pPr>
        <w:spacing w:line="23" w:lineRule="atLeast"/>
        <w:jc w:val="both"/>
        <w:rPr>
          <w:rFonts w:ascii="Arial" w:hAnsi="Arial" w:cs="Arial"/>
          <w:color w:val="000000" w:themeColor="text1"/>
        </w:rPr>
      </w:pPr>
      <w:r w:rsidRPr="0081375C">
        <w:rPr>
          <w:rFonts w:ascii="Arial" w:hAnsi="Arial" w:cs="Arial"/>
          <w:color w:val="000000" w:themeColor="text1"/>
        </w:rPr>
        <w:t>El resultado de esta actividad es el polígono del área seleccionada para el proyecto, registrado como capa SIG con metadatos que consignan la fecha de la decisión y el responsable institucional. Este polígono es el punto de partida del ciclo procedimental, y sobre él se ejecuta la priorización predial y se delimita el alcance de todas las actividades subsiguientes.</w:t>
      </w:r>
    </w:p>
    <w:p w14:paraId="74A2B07B" w14:textId="5BD9515A" w:rsidR="751229EA" w:rsidRPr="0081375C" w:rsidRDefault="751229EA" w:rsidP="006D3854"/>
    <w:p w14:paraId="56B3A963" w14:textId="3F8C87BF" w:rsidR="57582EF8" w:rsidRPr="0081375C" w:rsidRDefault="640ACE20" w:rsidP="006D3854">
      <w:pPr>
        <w:pStyle w:val="Ttulo3"/>
        <w:numPr>
          <w:ilvl w:val="2"/>
          <w:numId w:val="14"/>
        </w:numPr>
        <w:spacing w:beforeAutospacing="0" w:afterAutospacing="0" w:line="23" w:lineRule="atLeast"/>
        <w:rPr>
          <w:color w:val="000000" w:themeColor="text1"/>
          <w:lang w:val="es-CO"/>
        </w:rPr>
      </w:pPr>
      <w:bookmarkStart w:id="19" w:name="_Toc233304168"/>
      <w:r w:rsidRPr="0081375C">
        <w:rPr>
          <w:color w:val="000000" w:themeColor="text1"/>
          <w:lang w:val="es-CO"/>
        </w:rPr>
        <w:t>E</w:t>
      </w:r>
      <w:r w:rsidR="3321C36C" w:rsidRPr="0081375C">
        <w:rPr>
          <w:color w:val="000000" w:themeColor="text1"/>
          <w:lang w:val="es-CO"/>
        </w:rPr>
        <w:t xml:space="preserve">cosistema </w:t>
      </w:r>
      <w:r w:rsidR="2DB62FCA" w:rsidRPr="0081375C">
        <w:rPr>
          <w:color w:val="000000" w:themeColor="text1"/>
          <w:lang w:val="es-CO"/>
        </w:rPr>
        <w:t>E</w:t>
      </w:r>
      <w:r w:rsidR="3321C36C" w:rsidRPr="0081375C">
        <w:rPr>
          <w:color w:val="000000" w:themeColor="text1"/>
          <w:lang w:val="es-CO"/>
        </w:rPr>
        <w:t>stratégico de PSAH</w:t>
      </w:r>
      <w:bookmarkEnd w:id="19"/>
    </w:p>
    <w:p w14:paraId="74446D2B" w14:textId="65F6031F" w:rsidR="751229EA" w:rsidRPr="0081375C" w:rsidRDefault="751229EA" w:rsidP="751229EA"/>
    <w:p w14:paraId="6BBA9E88" w14:textId="3B2BC28E" w:rsidR="528EBEE2" w:rsidRPr="0081375C" w:rsidRDefault="33192153" w:rsidP="00B8092D">
      <w:pPr>
        <w:jc w:val="both"/>
        <w:rPr>
          <w:rFonts w:ascii="Arial" w:eastAsia="Arial" w:hAnsi="Arial" w:cs="Arial"/>
          <w:color w:val="000000" w:themeColor="text1"/>
          <w:sz w:val="24"/>
          <w:szCs w:val="24"/>
        </w:rPr>
      </w:pPr>
      <w:r w:rsidRPr="0081375C">
        <w:rPr>
          <w:rFonts w:ascii="Arial" w:eastAsia="Arial" w:hAnsi="Arial" w:cs="Arial"/>
          <w:color w:val="000000" w:themeColor="text1"/>
          <w:sz w:val="24"/>
          <w:szCs w:val="24"/>
        </w:rPr>
        <w:t>El ecosistema estrat</w:t>
      </w:r>
      <w:r w:rsidR="22233491" w:rsidRPr="0081375C">
        <w:rPr>
          <w:rFonts w:ascii="Arial" w:eastAsia="Arial" w:hAnsi="Arial" w:cs="Arial"/>
          <w:color w:val="000000" w:themeColor="text1"/>
          <w:sz w:val="24"/>
          <w:szCs w:val="24"/>
        </w:rPr>
        <w:t>é</w:t>
      </w:r>
      <w:r w:rsidRPr="0081375C">
        <w:rPr>
          <w:rFonts w:ascii="Arial" w:eastAsia="Arial" w:hAnsi="Arial" w:cs="Arial"/>
          <w:color w:val="000000" w:themeColor="text1"/>
          <w:sz w:val="24"/>
          <w:szCs w:val="24"/>
        </w:rPr>
        <w:t xml:space="preserve">gico se encuentra validado por la Autoridad Ambiental CORANTIOQUIA, mediante oficio No. 110-CO12309-26762 del 12 de septiembre de 2023, </w:t>
      </w:r>
      <w:r w:rsidR="2C970CAF" w:rsidRPr="0081375C">
        <w:rPr>
          <w:rFonts w:ascii="Arial" w:eastAsia="Arial" w:hAnsi="Arial" w:cs="Arial"/>
          <w:color w:val="000000" w:themeColor="text1"/>
          <w:sz w:val="24"/>
          <w:szCs w:val="24"/>
        </w:rPr>
        <w:t>él</w:t>
      </w:r>
      <w:r w:rsidRPr="0081375C">
        <w:rPr>
          <w:rFonts w:ascii="Arial" w:eastAsia="Arial" w:hAnsi="Arial" w:cs="Arial"/>
          <w:color w:val="000000" w:themeColor="text1"/>
          <w:sz w:val="24"/>
          <w:szCs w:val="24"/>
        </w:rPr>
        <w:t xml:space="preserve"> cuenta con un área </w:t>
      </w:r>
      <w:r w:rsidR="2F6BD60B" w:rsidRPr="0081375C">
        <w:rPr>
          <w:rFonts w:ascii="Arial" w:eastAsia="Arial" w:hAnsi="Arial" w:cs="Arial"/>
          <w:color w:val="000000" w:themeColor="text1"/>
          <w:sz w:val="24"/>
          <w:szCs w:val="24"/>
        </w:rPr>
        <w:t>de 9.640</w:t>
      </w:r>
      <w:r w:rsidRPr="0081375C">
        <w:rPr>
          <w:rFonts w:ascii="Arial" w:eastAsia="Arial" w:hAnsi="Arial" w:cs="Arial"/>
          <w:color w:val="000000" w:themeColor="text1"/>
          <w:sz w:val="24"/>
          <w:szCs w:val="24"/>
        </w:rPr>
        <w:t>,23</w:t>
      </w:r>
      <w:r w:rsidR="71A46B6C" w:rsidRPr="0081375C">
        <w:rPr>
          <w:rFonts w:ascii="Arial" w:eastAsia="Arial" w:hAnsi="Arial" w:cs="Arial"/>
          <w:color w:val="000000" w:themeColor="text1"/>
          <w:sz w:val="24"/>
          <w:szCs w:val="24"/>
        </w:rPr>
        <w:t xml:space="preserve">, con </w:t>
      </w:r>
      <w:r w:rsidR="45D1FA03" w:rsidRPr="0081375C">
        <w:rPr>
          <w:rFonts w:ascii="Arial" w:eastAsia="Arial" w:hAnsi="Arial" w:cs="Arial"/>
          <w:color w:val="000000" w:themeColor="text1"/>
          <w:sz w:val="24"/>
          <w:szCs w:val="24"/>
        </w:rPr>
        <w:t>destinación</w:t>
      </w:r>
      <w:r w:rsidR="71A46B6C" w:rsidRPr="0081375C">
        <w:rPr>
          <w:rFonts w:ascii="Arial" w:eastAsia="Arial" w:hAnsi="Arial" w:cs="Arial"/>
          <w:color w:val="000000" w:themeColor="text1"/>
          <w:sz w:val="24"/>
          <w:szCs w:val="24"/>
        </w:rPr>
        <w:t xml:space="preserve"> para adquisición de predios o para la implementación del PSAH</w:t>
      </w:r>
      <w:r w:rsidR="009161A4" w:rsidRPr="0081375C">
        <w:rPr>
          <w:rFonts w:ascii="Arial" w:eastAsia="Arial" w:hAnsi="Arial" w:cs="Arial"/>
          <w:color w:val="000000" w:themeColor="text1"/>
          <w:sz w:val="24"/>
          <w:szCs w:val="24"/>
        </w:rPr>
        <w:t>,</w:t>
      </w:r>
      <w:r w:rsidRPr="0081375C">
        <w:rPr>
          <w:rFonts w:ascii="Arial" w:eastAsia="Arial" w:hAnsi="Arial" w:cs="Arial"/>
          <w:color w:val="000000" w:themeColor="text1"/>
          <w:sz w:val="24"/>
          <w:szCs w:val="24"/>
        </w:rPr>
        <w:t xml:space="preserve"> como se puede observar en </w:t>
      </w:r>
      <w:r w:rsidR="61EFBB9A" w:rsidRPr="0081375C">
        <w:rPr>
          <w:rFonts w:ascii="Arial" w:eastAsia="Arial" w:hAnsi="Arial" w:cs="Arial"/>
          <w:color w:val="000000" w:themeColor="text1"/>
          <w:sz w:val="24"/>
          <w:szCs w:val="24"/>
        </w:rPr>
        <w:t xml:space="preserve">la </w:t>
      </w:r>
      <w:r w:rsidR="003C73A2" w:rsidRPr="0081375C">
        <w:rPr>
          <w:rFonts w:ascii="Arial" w:eastAsia="Arial" w:hAnsi="Arial" w:cs="Arial"/>
          <w:color w:val="000000" w:themeColor="text1"/>
          <w:sz w:val="24"/>
          <w:szCs w:val="24"/>
        </w:rPr>
        <w:t>siguiente figura</w:t>
      </w:r>
      <w:r w:rsidR="00F742B6" w:rsidRPr="0081375C">
        <w:rPr>
          <w:rFonts w:ascii="Arial" w:eastAsia="Arial" w:hAnsi="Arial" w:cs="Arial"/>
          <w:color w:val="000000" w:themeColor="text1"/>
          <w:sz w:val="24"/>
          <w:szCs w:val="24"/>
        </w:rPr>
        <w:t>.</w:t>
      </w:r>
    </w:p>
    <w:p w14:paraId="78E8F1AC" w14:textId="10762BEC" w:rsidR="751229EA" w:rsidRPr="0081375C" w:rsidRDefault="751229EA" w:rsidP="751229EA">
      <w:pPr>
        <w:rPr>
          <w:rFonts w:ascii="Arial" w:eastAsia="Arial" w:hAnsi="Arial" w:cs="Arial"/>
          <w:color w:val="000000" w:themeColor="text1"/>
          <w:sz w:val="24"/>
          <w:szCs w:val="24"/>
        </w:rPr>
      </w:pPr>
    </w:p>
    <w:p w14:paraId="248F05AE" w14:textId="65385302" w:rsidR="3CD4385D" w:rsidRPr="0081375C" w:rsidRDefault="51A74320" w:rsidP="751229EA">
      <w:r w:rsidRPr="0081375C">
        <w:rPr>
          <w:noProof/>
        </w:rPr>
        <w:lastRenderedPageBreak/>
        <w:drawing>
          <wp:inline distT="0" distB="0" distL="0" distR="0" wp14:anchorId="2E868ACA" wp14:editId="006751C5">
            <wp:extent cx="5505450" cy="4257675"/>
            <wp:effectExtent l="0" t="0" r="0" b="0"/>
            <wp:docPr id="16244157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15765" name="Picture 1624415765"/>
                    <pic:cNvPicPr/>
                  </pic:nvPicPr>
                  <pic:blipFill>
                    <a:blip r:embed="rId17">
                      <a:extLst>
                        <a:ext uri="{28A0092B-C50C-407E-A947-70E740481C1C}">
                          <a14:useLocalDpi xmlns:a14="http://schemas.microsoft.com/office/drawing/2010/main"/>
                        </a:ext>
                      </a:extLst>
                    </a:blip>
                    <a:stretch>
                      <a:fillRect/>
                    </a:stretch>
                  </pic:blipFill>
                  <pic:spPr>
                    <a:xfrm>
                      <a:off x="0" y="0"/>
                      <a:ext cx="5505450" cy="4257675"/>
                    </a:xfrm>
                    <a:prstGeom prst="rect">
                      <a:avLst/>
                    </a:prstGeom>
                  </pic:spPr>
                </pic:pic>
              </a:graphicData>
            </a:graphic>
          </wp:inline>
        </w:drawing>
      </w:r>
    </w:p>
    <w:p w14:paraId="5D073007" w14:textId="51D2B6F0" w:rsidR="5530E297" w:rsidRPr="0081375C" w:rsidRDefault="65049D20" w:rsidP="009E42DF">
      <w:pPr>
        <w:spacing w:line="259" w:lineRule="auto"/>
        <w:jc w:val="center"/>
        <w:rPr>
          <w:rFonts w:ascii="Arial" w:eastAsia="Arial" w:hAnsi="Arial" w:cs="Arial"/>
          <w:b/>
          <w:bCs/>
          <w:sz w:val="20"/>
          <w:szCs w:val="20"/>
        </w:rPr>
      </w:pPr>
      <w:bookmarkStart w:id="20" w:name="_Toc233018494"/>
      <w:r w:rsidRPr="0081375C">
        <w:rPr>
          <w:rFonts w:ascii="Arial" w:hAnsi="Arial" w:cs="Arial"/>
          <w:b/>
          <w:bCs/>
          <w:sz w:val="20"/>
          <w:szCs w:val="20"/>
        </w:rPr>
        <w:t xml:space="preserve">Figura </w:t>
      </w:r>
      <w:r w:rsidR="009E42DF" w:rsidRPr="0081375C">
        <w:rPr>
          <w:rFonts w:ascii="Arial" w:hAnsi="Arial" w:cs="Arial"/>
          <w:b/>
          <w:bCs/>
          <w:sz w:val="20"/>
          <w:szCs w:val="20"/>
        </w:rPr>
        <w:fldChar w:fldCharType="begin"/>
      </w:r>
      <w:r w:rsidR="009E42DF" w:rsidRPr="0081375C">
        <w:rPr>
          <w:rFonts w:ascii="Arial" w:hAnsi="Arial" w:cs="Arial"/>
          <w:b/>
          <w:bCs/>
          <w:sz w:val="20"/>
          <w:szCs w:val="20"/>
        </w:rPr>
        <w:instrText xml:space="preserve"> SEQ Figura \* ARABIC </w:instrText>
      </w:r>
      <w:r w:rsidR="009E42DF" w:rsidRPr="0081375C">
        <w:rPr>
          <w:rFonts w:ascii="Arial" w:hAnsi="Arial" w:cs="Arial"/>
          <w:b/>
          <w:bCs/>
          <w:sz w:val="20"/>
          <w:szCs w:val="20"/>
        </w:rPr>
        <w:fldChar w:fldCharType="separate"/>
      </w:r>
      <w:r w:rsidRPr="0081375C">
        <w:rPr>
          <w:rFonts w:ascii="Arial" w:hAnsi="Arial" w:cs="Arial"/>
          <w:b/>
          <w:bCs/>
          <w:noProof/>
          <w:sz w:val="20"/>
          <w:szCs w:val="20"/>
        </w:rPr>
        <w:t>2</w:t>
      </w:r>
      <w:r w:rsidR="009E42DF" w:rsidRPr="0081375C">
        <w:rPr>
          <w:rFonts w:ascii="Arial" w:hAnsi="Arial" w:cs="Arial"/>
          <w:b/>
          <w:bCs/>
          <w:sz w:val="20"/>
          <w:szCs w:val="20"/>
        </w:rPr>
        <w:fldChar w:fldCharType="end"/>
      </w:r>
      <w:r w:rsidRPr="0081375C">
        <w:rPr>
          <w:rFonts w:ascii="Arial" w:eastAsia="Arial" w:hAnsi="Arial" w:cs="Arial"/>
          <w:b/>
          <w:bCs/>
          <w:sz w:val="20"/>
          <w:szCs w:val="20"/>
        </w:rPr>
        <w:t>. Áreas del ecosistema estratégico PSAH</w:t>
      </w:r>
      <w:bookmarkEnd w:id="20"/>
    </w:p>
    <w:p w14:paraId="67FEC928" w14:textId="392FF946" w:rsidR="751229EA" w:rsidRPr="0081375C" w:rsidRDefault="751229EA" w:rsidP="751229EA"/>
    <w:p w14:paraId="0ADA0CD7" w14:textId="16C85DEA" w:rsidR="015494BF" w:rsidRPr="0081375C" w:rsidRDefault="015494BF" w:rsidP="6361EE2F">
      <w:pPr>
        <w:jc w:val="both"/>
        <w:rPr>
          <w:rFonts w:ascii="Arial" w:eastAsia="Arial" w:hAnsi="Arial" w:cs="Arial"/>
        </w:rPr>
      </w:pPr>
    </w:p>
    <w:p w14:paraId="3181E49A" w14:textId="7A9F4A0C" w:rsidR="009E3510" w:rsidRPr="0081375C" w:rsidRDefault="009E3510" w:rsidP="00C06097">
      <w:pPr>
        <w:pStyle w:val="Ttulo3"/>
        <w:numPr>
          <w:ilvl w:val="2"/>
          <w:numId w:val="14"/>
        </w:numPr>
        <w:spacing w:beforeAutospacing="0" w:afterAutospacing="0" w:line="23" w:lineRule="atLeast"/>
        <w:rPr>
          <w:color w:val="000000" w:themeColor="text1"/>
          <w:lang w:val="es-CO"/>
        </w:rPr>
      </w:pPr>
      <w:bookmarkStart w:id="21" w:name="_Toc233304169"/>
      <w:r w:rsidRPr="0081375C">
        <w:rPr>
          <w:color w:val="000000" w:themeColor="text1"/>
          <w:lang w:val="es-CO"/>
        </w:rPr>
        <w:t xml:space="preserve">Ecosistema estratégico </w:t>
      </w:r>
      <w:r w:rsidR="0055090D" w:rsidRPr="0081375C">
        <w:rPr>
          <w:color w:val="000000" w:themeColor="text1"/>
          <w:lang w:val="es-CO"/>
        </w:rPr>
        <w:t xml:space="preserve">para </w:t>
      </w:r>
      <w:r w:rsidR="0072406B" w:rsidRPr="0081375C">
        <w:rPr>
          <w:color w:val="000000" w:themeColor="text1"/>
          <w:lang w:val="es-CO"/>
        </w:rPr>
        <w:t>otros PSA</w:t>
      </w:r>
      <w:r w:rsidR="0055090D" w:rsidRPr="0081375C">
        <w:rPr>
          <w:color w:val="000000" w:themeColor="text1"/>
          <w:lang w:val="es-CO"/>
        </w:rPr>
        <w:t xml:space="preserve">, incluido </w:t>
      </w:r>
      <w:proofErr w:type="spellStart"/>
      <w:r w:rsidR="0055090D" w:rsidRPr="0081375C">
        <w:rPr>
          <w:color w:val="000000" w:themeColor="text1"/>
          <w:lang w:val="es-CO"/>
        </w:rPr>
        <w:t>PSABio</w:t>
      </w:r>
      <w:proofErr w:type="spellEnd"/>
    </w:p>
    <w:p w14:paraId="404E4652" w14:textId="77777777" w:rsidR="00A614E1" w:rsidRPr="0081375C" w:rsidRDefault="00A614E1" w:rsidP="000E0E4C">
      <w:pPr>
        <w:jc w:val="both"/>
        <w:rPr>
          <w:rFonts w:ascii="Arial" w:eastAsia="Arial" w:hAnsi="Arial" w:cs="Arial"/>
          <w:color w:val="000000" w:themeColor="text1"/>
          <w:sz w:val="24"/>
          <w:szCs w:val="24"/>
        </w:rPr>
      </w:pPr>
      <w:bookmarkStart w:id="22" w:name="_Hlk185764768"/>
    </w:p>
    <w:p w14:paraId="61587E23" w14:textId="4DBBA01C" w:rsidR="002864BD" w:rsidRPr="0081375C" w:rsidRDefault="006960F3" w:rsidP="000E0E4C">
      <w:pPr>
        <w:jc w:val="both"/>
        <w:rPr>
          <w:rFonts w:ascii="Arial" w:eastAsia="Arial" w:hAnsi="Arial" w:cs="Arial"/>
          <w:color w:val="000000" w:themeColor="text1"/>
          <w:sz w:val="24"/>
          <w:szCs w:val="24"/>
        </w:rPr>
      </w:pPr>
      <w:r w:rsidRPr="0081375C">
        <w:rPr>
          <w:rFonts w:ascii="Arial" w:eastAsia="Arial" w:hAnsi="Arial" w:cs="Arial"/>
          <w:color w:val="000000" w:themeColor="text1"/>
          <w:sz w:val="24"/>
          <w:szCs w:val="24"/>
        </w:rPr>
        <w:t>El Decreto 1114 de 2023,</w:t>
      </w:r>
      <w:r w:rsidR="003B4521" w:rsidRPr="0081375C">
        <w:rPr>
          <w:rFonts w:ascii="Arial" w:eastAsia="Arial" w:hAnsi="Arial" w:cs="Arial"/>
          <w:color w:val="000000" w:themeColor="text1"/>
          <w:sz w:val="24"/>
          <w:szCs w:val="24"/>
        </w:rPr>
        <w:t xml:space="preserve"> </w:t>
      </w:r>
      <w:r w:rsidRPr="0081375C">
        <w:rPr>
          <w:rFonts w:ascii="Arial" w:eastAsia="Arial" w:hAnsi="Arial" w:cs="Arial"/>
          <w:color w:val="000000" w:themeColor="text1"/>
          <w:sz w:val="24"/>
          <w:szCs w:val="24"/>
        </w:rPr>
        <w:t>compilado en el Decreto 774 de 2024</w:t>
      </w:r>
      <w:r w:rsidR="003E5212" w:rsidRPr="0081375C">
        <w:rPr>
          <w:rFonts w:ascii="Arial" w:eastAsia="Arial" w:hAnsi="Arial" w:cs="Arial"/>
          <w:color w:val="000000" w:themeColor="text1"/>
          <w:sz w:val="24"/>
          <w:szCs w:val="24"/>
        </w:rPr>
        <w:t>,</w:t>
      </w:r>
      <w:r w:rsidRPr="0081375C">
        <w:rPr>
          <w:rFonts w:ascii="Arial" w:eastAsia="Arial" w:hAnsi="Arial" w:cs="Arial"/>
          <w:color w:val="000000" w:themeColor="text1"/>
          <w:sz w:val="24"/>
          <w:szCs w:val="24"/>
        </w:rPr>
        <w:t xml:space="preserve"> que actualiza la reglamentación del PSA en sus diversas modalidades, incluye como anexo un mapa que identifica las "áreas y ecosistemas de importancia estratégica para la implementación de Pago por Servicios Ambientales Hídricos" y las "áreas y ecosistemas de importancia estratégica para la implementación de otras modalidades de PSA". </w:t>
      </w:r>
      <w:r w:rsidR="0072406B" w:rsidRPr="0081375C">
        <w:rPr>
          <w:rFonts w:ascii="Arial" w:eastAsia="Arial" w:hAnsi="Arial" w:cs="Arial"/>
          <w:color w:val="000000" w:themeColor="text1"/>
          <w:sz w:val="24"/>
          <w:szCs w:val="24"/>
        </w:rPr>
        <w:t>Estas á</w:t>
      </w:r>
      <w:r w:rsidRPr="0081375C">
        <w:rPr>
          <w:rFonts w:ascii="Arial" w:eastAsia="Arial" w:hAnsi="Arial" w:cs="Arial"/>
          <w:color w:val="000000" w:themeColor="text1"/>
          <w:sz w:val="24"/>
          <w:szCs w:val="24"/>
        </w:rPr>
        <w:t xml:space="preserve">reas de los Ecosistemas Estratégicos representan un insumo clave para la delimitación del ecosistema estratégico de biodiversidad y </w:t>
      </w:r>
      <w:r w:rsidR="00CC1E56" w:rsidRPr="0081375C">
        <w:rPr>
          <w:rFonts w:ascii="Arial" w:eastAsia="Arial" w:hAnsi="Arial" w:cs="Arial"/>
          <w:color w:val="000000" w:themeColor="text1"/>
          <w:sz w:val="24"/>
          <w:szCs w:val="24"/>
        </w:rPr>
        <w:t>priorización</w:t>
      </w:r>
      <w:r w:rsidR="00CF3112" w:rsidRPr="0081375C">
        <w:rPr>
          <w:rFonts w:ascii="Arial" w:eastAsia="Arial" w:hAnsi="Arial" w:cs="Arial"/>
          <w:color w:val="000000" w:themeColor="text1"/>
          <w:sz w:val="24"/>
          <w:szCs w:val="24"/>
        </w:rPr>
        <w:t xml:space="preserve"> de áreas</w:t>
      </w:r>
      <w:r w:rsidR="00CF4DF8" w:rsidRPr="0081375C">
        <w:rPr>
          <w:rFonts w:ascii="Arial" w:eastAsia="Arial" w:hAnsi="Arial" w:cs="Arial"/>
          <w:color w:val="000000" w:themeColor="text1"/>
          <w:sz w:val="24"/>
          <w:szCs w:val="24"/>
        </w:rPr>
        <w:t xml:space="preserve"> (ver </w:t>
      </w:r>
      <w:r w:rsidR="00CF4DF8" w:rsidRPr="0081375C">
        <w:rPr>
          <w:rFonts w:ascii="Arial" w:eastAsia="Arial" w:hAnsi="Arial" w:cs="Arial"/>
          <w:color w:val="000000" w:themeColor="text1"/>
          <w:sz w:val="24"/>
          <w:szCs w:val="24"/>
        </w:rPr>
        <w:fldChar w:fldCharType="begin"/>
      </w:r>
      <w:r w:rsidR="00CF4DF8" w:rsidRPr="0081375C">
        <w:rPr>
          <w:rFonts w:ascii="Arial" w:eastAsia="Arial" w:hAnsi="Arial" w:cs="Arial"/>
          <w:color w:val="000000" w:themeColor="text1"/>
          <w:sz w:val="24"/>
          <w:szCs w:val="24"/>
        </w:rPr>
        <w:instrText xml:space="preserve"> REF _Ref234855489 \h  \* MERGEFORMAT </w:instrText>
      </w:r>
      <w:r w:rsidR="00CF4DF8" w:rsidRPr="0081375C">
        <w:rPr>
          <w:rFonts w:ascii="Arial" w:eastAsia="Arial" w:hAnsi="Arial" w:cs="Arial"/>
          <w:color w:val="000000" w:themeColor="text1"/>
          <w:sz w:val="24"/>
          <w:szCs w:val="24"/>
        </w:rPr>
      </w:r>
      <w:r w:rsidR="00CF4DF8" w:rsidRPr="0081375C">
        <w:rPr>
          <w:rFonts w:ascii="Arial" w:eastAsia="Arial" w:hAnsi="Arial" w:cs="Arial"/>
          <w:color w:val="000000" w:themeColor="text1"/>
          <w:sz w:val="24"/>
          <w:szCs w:val="24"/>
        </w:rPr>
        <w:fldChar w:fldCharType="separate"/>
      </w:r>
      <w:r w:rsidR="00CF4DF8" w:rsidRPr="0081375C">
        <w:rPr>
          <w:rFonts w:ascii="Arial" w:eastAsia="Arial" w:hAnsi="Arial" w:cs="Arial"/>
          <w:color w:val="000000" w:themeColor="text1"/>
          <w:sz w:val="24"/>
          <w:szCs w:val="24"/>
        </w:rPr>
        <w:t>Figura 3</w:t>
      </w:r>
      <w:r w:rsidR="00CF4DF8" w:rsidRPr="0081375C">
        <w:rPr>
          <w:rFonts w:ascii="Arial" w:eastAsia="Arial" w:hAnsi="Arial" w:cs="Arial"/>
          <w:color w:val="000000" w:themeColor="text1"/>
          <w:sz w:val="24"/>
          <w:szCs w:val="24"/>
        </w:rPr>
        <w:fldChar w:fldCharType="end"/>
      </w:r>
      <w:r w:rsidR="00CF4DF8" w:rsidRPr="0081375C">
        <w:rPr>
          <w:rFonts w:ascii="Arial" w:eastAsia="Arial" w:hAnsi="Arial" w:cs="Arial"/>
          <w:color w:val="000000" w:themeColor="text1"/>
          <w:sz w:val="24"/>
          <w:szCs w:val="24"/>
        </w:rPr>
        <w:t>)</w:t>
      </w:r>
      <w:r w:rsidRPr="0081375C">
        <w:rPr>
          <w:rFonts w:ascii="Arial" w:eastAsia="Arial" w:hAnsi="Arial" w:cs="Arial"/>
          <w:color w:val="000000" w:themeColor="text1"/>
          <w:sz w:val="24"/>
          <w:szCs w:val="24"/>
        </w:rPr>
        <w:t xml:space="preserve">. </w:t>
      </w:r>
    </w:p>
    <w:p w14:paraId="29E2073F" w14:textId="77777777" w:rsidR="002864BD" w:rsidRPr="0081375C" w:rsidRDefault="002864BD" w:rsidP="000E0E4C">
      <w:pPr>
        <w:jc w:val="both"/>
        <w:rPr>
          <w:rFonts w:ascii="Arial" w:eastAsia="Arial" w:hAnsi="Arial" w:cs="Arial"/>
          <w:color w:val="000000" w:themeColor="text1"/>
          <w:sz w:val="24"/>
          <w:szCs w:val="24"/>
        </w:rPr>
      </w:pPr>
    </w:p>
    <w:p w14:paraId="2679A367" w14:textId="644A64D3" w:rsidR="000E0E4C" w:rsidRPr="0081375C" w:rsidRDefault="0019617F" w:rsidP="000E0E4C">
      <w:pPr>
        <w:jc w:val="both"/>
        <w:rPr>
          <w:rFonts w:ascii="Arial" w:eastAsia="Arial" w:hAnsi="Arial" w:cs="Arial"/>
          <w:color w:val="000000" w:themeColor="text1"/>
          <w:sz w:val="24"/>
          <w:szCs w:val="24"/>
        </w:rPr>
      </w:pPr>
      <w:r w:rsidRPr="0081375C">
        <w:rPr>
          <w:rFonts w:ascii="Arial" w:eastAsia="Arial" w:hAnsi="Arial" w:cs="Arial"/>
          <w:color w:val="000000" w:themeColor="text1"/>
          <w:sz w:val="24"/>
          <w:szCs w:val="24"/>
        </w:rPr>
        <w:t xml:space="preserve">A partir de este insumo y mediante </w:t>
      </w:r>
      <w:r w:rsidR="000E0E4C" w:rsidRPr="0081375C">
        <w:rPr>
          <w:rFonts w:ascii="Arial" w:eastAsia="Arial" w:hAnsi="Arial" w:cs="Arial"/>
          <w:color w:val="000000" w:themeColor="text1"/>
          <w:sz w:val="24"/>
          <w:szCs w:val="24"/>
        </w:rPr>
        <w:t>análisis de los insumos cartográficos</w:t>
      </w:r>
      <w:r w:rsidR="00642F88" w:rsidRPr="0081375C">
        <w:rPr>
          <w:rFonts w:ascii="Arial" w:eastAsia="Arial" w:hAnsi="Arial" w:cs="Arial"/>
          <w:color w:val="000000" w:themeColor="text1"/>
          <w:sz w:val="24"/>
          <w:szCs w:val="24"/>
        </w:rPr>
        <w:t xml:space="preserve"> que consideran cri</w:t>
      </w:r>
      <w:r w:rsidR="00A614E1" w:rsidRPr="0081375C">
        <w:rPr>
          <w:rFonts w:ascii="Arial" w:eastAsia="Arial" w:hAnsi="Arial" w:cs="Arial"/>
          <w:color w:val="000000" w:themeColor="text1"/>
          <w:sz w:val="24"/>
          <w:szCs w:val="24"/>
        </w:rPr>
        <w:t>te</w:t>
      </w:r>
      <w:r w:rsidR="00642F88" w:rsidRPr="0081375C">
        <w:rPr>
          <w:rFonts w:ascii="Arial" w:eastAsia="Arial" w:hAnsi="Arial" w:cs="Arial"/>
          <w:color w:val="000000" w:themeColor="text1"/>
          <w:sz w:val="24"/>
          <w:szCs w:val="24"/>
        </w:rPr>
        <w:t xml:space="preserve">rios fisiográficos, </w:t>
      </w:r>
      <w:r w:rsidR="00CF4DF8" w:rsidRPr="0081375C">
        <w:rPr>
          <w:rFonts w:ascii="Arial" w:eastAsia="Arial" w:hAnsi="Arial" w:cs="Arial"/>
          <w:color w:val="000000" w:themeColor="text1"/>
          <w:sz w:val="24"/>
          <w:szCs w:val="24"/>
        </w:rPr>
        <w:t xml:space="preserve">registros </w:t>
      </w:r>
      <w:r w:rsidR="00A614E1" w:rsidRPr="0081375C">
        <w:rPr>
          <w:rFonts w:ascii="Arial" w:eastAsia="Arial" w:hAnsi="Arial" w:cs="Arial"/>
          <w:color w:val="000000" w:themeColor="text1"/>
          <w:sz w:val="24"/>
          <w:szCs w:val="24"/>
        </w:rPr>
        <w:t>biológicos</w:t>
      </w:r>
      <w:r w:rsidR="00642F88" w:rsidRPr="0081375C">
        <w:rPr>
          <w:rFonts w:ascii="Arial" w:eastAsia="Arial" w:hAnsi="Arial" w:cs="Arial"/>
          <w:color w:val="000000" w:themeColor="text1"/>
          <w:sz w:val="24"/>
          <w:szCs w:val="24"/>
        </w:rPr>
        <w:t xml:space="preserve"> y de estado de conservación</w:t>
      </w:r>
      <w:r w:rsidR="000E0E4C" w:rsidRPr="0081375C">
        <w:rPr>
          <w:rFonts w:ascii="Arial" w:eastAsia="Arial" w:hAnsi="Arial" w:cs="Arial"/>
          <w:color w:val="000000" w:themeColor="text1"/>
          <w:sz w:val="24"/>
          <w:szCs w:val="24"/>
        </w:rPr>
        <w:t xml:space="preserve">, </w:t>
      </w:r>
      <w:r w:rsidR="000E0E4C" w:rsidRPr="0081375C">
        <w:rPr>
          <w:rFonts w:ascii="Arial" w:eastAsia="Arial" w:hAnsi="Arial" w:cs="Arial"/>
          <w:color w:val="000000" w:themeColor="text1"/>
          <w:sz w:val="24"/>
          <w:szCs w:val="24"/>
        </w:rPr>
        <w:lastRenderedPageBreak/>
        <w:t xml:space="preserve">se </w:t>
      </w:r>
      <w:r w:rsidR="00A614E1" w:rsidRPr="0081375C">
        <w:rPr>
          <w:rFonts w:ascii="Arial" w:eastAsia="Arial" w:hAnsi="Arial" w:cs="Arial"/>
          <w:color w:val="000000" w:themeColor="text1"/>
          <w:sz w:val="24"/>
          <w:szCs w:val="24"/>
        </w:rPr>
        <w:t>llevó a cabo la delimitación de</w:t>
      </w:r>
      <w:r w:rsidR="000E0E4C" w:rsidRPr="0081375C">
        <w:rPr>
          <w:rFonts w:ascii="Arial" w:eastAsia="Arial" w:hAnsi="Arial" w:cs="Arial"/>
          <w:color w:val="000000" w:themeColor="text1"/>
          <w:sz w:val="24"/>
          <w:szCs w:val="24"/>
        </w:rPr>
        <w:t xml:space="preserve"> lo que en este documento se denomina como "ecosistema estratégico de biodiversidad". </w:t>
      </w:r>
    </w:p>
    <w:bookmarkEnd w:id="22"/>
    <w:p w14:paraId="5FE43F1D" w14:textId="77777777" w:rsidR="00DA582A" w:rsidRPr="0081375C" w:rsidRDefault="00DA582A" w:rsidP="00FC45CE">
      <w:pPr>
        <w:pStyle w:val="Default"/>
      </w:pPr>
    </w:p>
    <w:p w14:paraId="2F9B30D8" w14:textId="403D7677" w:rsidR="009E3510" w:rsidRPr="0081375C" w:rsidRDefault="009E3510" w:rsidP="00FC45CE">
      <w:pPr>
        <w:pStyle w:val="Default"/>
      </w:pPr>
      <w:r w:rsidRPr="0081375C">
        <w:rPr>
          <w:noProof/>
        </w:rPr>
        <w:drawing>
          <wp:inline distT="0" distB="0" distL="0" distR="0" wp14:anchorId="4BEFAA2D" wp14:editId="7827D5DF">
            <wp:extent cx="5490210" cy="3552190"/>
            <wp:effectExtent l="0" t="0" r="0" b="0"/>
            <wp:docPr id="11977030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0210" cy="3552190"/>
                    </a:xfrm>
                    <a:prstGeom prst="rect">
                      <a:avLst/>
                    </a:prstGeom>
                    <a:noFill/>
                    <a:ln>
                      <a:noFill/>
                    </a:ln>
                  </pic:spPr>
                </pic:pic>
              </a:graphicData>
            </a:graphic>
          </wp:inline>
        </w:drawing>
      </w:r>
    </w:p>
    <w:p w14:paraId="29EED28E" w14:textId="77777777" w:rsidR="00A614E1" w:rsidRPr="0081375C" w:rsidRDefault="008A5833" w:rsidP="00FC45CE">
      <w:pPr>
        <w:pStyle w:val="Default"/>
        <w:jc w:val="center"/>
        <w:rPr>
          <w:b/>
          <w:bCs/>
          <w:sz w:val="20"/>
          <w:szCs w:val="20"/>
        </w:rPr>
      </w:pPr>
      <w:bookmarkStart w:id="23" w:name="_Ref234855489"/>
      <w:r w:rsidRPr="0081375C">
        <w:rPr>
          <w:b/>
          <w:bCs/>
          <w:sz w:val="20"/>
          <w:szCs w:val="20"/>
        </w:rPr>
        <w:t xml:space="preserve">Figura </w:t>
      </w:r>
      <w:r w:rsidRPr="0081375C">
        <w:rPr>
          <w:b/>
          <w:bCs/>
          <w:sz w:val="20"/>
          <w:szCs w:val="20"/>
        </w:rPr>
        <w:fldChar w:fldCharType="begin"/>
      </w:r>
      <w:r w:rsidRPr="0081375C">
        <w:rPr>
          <w:b/>
          <w:bCs/>
          <w:sz w:val="20"/>
          <w:szCs w:val="20"/>
        </w:rPr>
        <w:instrText xml:space="preserve"> SEQ Figura \* ARABIC </w:instrText>
      </w:r>
      <w:r w:rsidRPr="0081375C">
        <w:rPr>
          <w:b/>
          <w:bCs/>
          <w:sz w:val="20"/>
          <w:szCs w:val="20"/>
        </w:rPr>
        <w:fldChar w:fldCharType="separate"/>
      </w:r>
      <w:r w:rsidRPr="0081375C">
        <w:rPr>
          <w:b/>
          <w:bCs/>
          <w:sz w:val="20"/>
          <w:szCs w:val="20"/>
        </w:rPr>
        <w:t>3</w:t>
      </w:r>
      <w:r w:rsidRPr="0081375C">
        <w:rPr>
          <w:b/>
          <w:bCs/>
          <w:sz w:val="20"/>
          <w:szCs w:val="20"/>
        </w:rPr>
        <w:fldChar w:fldCharType="end"/>
      </w:r>
      <w:bookmarkEnd w:id="23"/>
      <w:r w:rsidRPr="0081375C">
        <w:rPr>
          <w:b/>
          <w:bCs/>
          <w:sz w:val="20"/>
          <w:szCs w:val="20"/>
        </w:rPr>
        <w:t xml:space="preserve">. </w:t>
      </w:r>
      <w:r w:rsidR="002D3990" w:rsidRPr="0081375C">
        <w:rPr>
          <w:b/>
          <w:bCs/>
          <w:sz w:val="20"/>
          <w:szCs w:val="20"/>
        </w:rPr>
        <w:t xml:space="preserve">Áreas </w:t>
      </w:r>
      <w:r w:rsidR="00111ABF" w:rsidRPr="0081375C">
        <w:rPr>
          <w:b/>
          <w:bCs/>
          <w:sz w:val="20"/>
          <w:szCs w:val="20"/>
        </w:rPr>
        <w:t>y ecosistema de importancia estratégica, en verde se encuentran</w:t>
      </w:r>
      <w:r w:rsidR="006967E7" w:rsidRPr="0081375C">
        <w:rPr>
          <w:b/>
          <w:bCs/>
          <w:sz w:val="20"/>
          <w:szCs w:val="20"/>
        </w:rPr>
        <w:t xml:space="preserve"> las áreas para la implementación de otras modalidades de PSA.</w:t>
      </w:r>
    </w:p>
    <w:p w14:paraId="22217750" w14:textId="02B65A4D" w:rsidR="009E3510" w:rsidRPr="0081375C" w:rsidRDefault="006967E7" w:rsidP="00FC45CE">
      <w:pPr>
        <w:pStyle w:val="Default"/>
        <w:jc w:val="center"/>
        <w:rPr>
          <w:b/>
          <w:bCs/>
          <w:color w:val="auto"/>
          <w:sz w:val="20"/>
          <w:szCs w:val="20"/>
        </w:rPr>
      </w:pPr>
      <w:r w:rsidRPr="0081375C">
        <w:rPr>
          <w:b/>
          <w:bCs/>
          <w:sz w:val="20"/>
          <w:szCs w:val="20"/>
        </w:rPr>
        <w:t xml:space="preserve">Fuente: </w:t>
      </w:r>
      <w:r w:rsidR="001A4F53" w:rsidRPr="0081375C">
        <w:rPr>
          <w:b/>
          <w:bCs/>
          <w:sz w:val="20"/>
          <w:szCs w:val="20"/>
        </w:rPr>
        <w:t xml:space="preserve">Anexo 1 del Decreto 1114 de 2023, compilado en el </w:t>
      </w:r>
      <w:r w:rsidRPr="0081375C">
        <w:rPr>
          <w:b/>
          <w:bCs/>
          <w:sz w:val="20"/>
          <w:szCs w:val="20"/>
        </w:rPr>
        <w:t>Decreto 774 de 2024</w:t>
      </w:r>
    </w:p>
    <w:p w14:paraId="67B735B8" w14:textId="77777777" w:rsidR="008A5833" w:rsidRPr="0081375C" w:rsidRDefault="008A5833" w:rsidP="00FC45CE">
      <w:pPr>
        <w:pStyle w:val="Default"/>
      </w:pPr>
    </w:p>
    <w:p w14:paraId="181F9BB4" w14:textId="77777777" w:rsidR="00FC45CE" w:rsidRPr="0081375C" w:rsidRDefault="00FC45CE" w:rsidP="00FC45CE">
      <w:pPr>
        <w:pStyle w:val="Default"/>
      </w:pPr>
    </w:p>
    <w:p w14:paraId="1865A06F" w14:textId="06764C6E" w:rsidR="003B7A2B" w:rsidRPr="0081375C" w:rsidRDefault="003B7A2B">
      <w:pPr>
        <w:rPr>
          <w:rFonts w:ascii="Arial" w:eastAsia="Cambria" w:hAnsi="Arial" w:cs="Arial"/>
          <w:color w:val="000000"/>
          <w:sz w:val="24"/>
          <w:szCs w:val="24"/>
          <w:lang w:eastAsia="en-US"/>
        </w:rPr>
      </w:pPr>
      <w:r w:rsidRPr="0081375C">
        <w:br w:type="page"/>
      </w:r>
    </w:p>
    <w:p w14:paraId="035EC718" w14:textId="77777777" w:rsidR="003B7A2B" w:rsidRPr="0081375C" w:rsidRDefault="003B7A2B" w:rsidP="00FC45CE">
      <w:pPr>
        <w:pStyle w:val="Default"/>
      </w:pPr>
    </w:p>
    <w:p w14:paraId="5EBDB579" w14:textId="17139CBF" w:rsidR="00825D4D" w:rsidRPr="0081375C" w:rsidRDefault="0D1FF98E" w:rsidP="00C06097">
      <w:pPr>
        <w:pStyle w:val="Ttulo3"/>
        <w:numPr>
          <w:ilvl w:val="2"/>
          <w:numId w:val="14"/>
        </w:numPr>
        <w:spacing w:beforeAutospacing="0" w:afterAutospacing="0" w:line="23" w:lineRule="atLeast"/>
        <w:rPr>
          <w:color w:val="000000" w:themeColor="text1"/>
          <w:lang w:val="es-CO"/>
        </w:rPr>
      </w:pPr>
      <w:r w:rsidRPr="0081375C">
        <w:rPr>
          <w:color w:val="000000" w:themeColor="text1"/>
          <w:lang w:val="es-CO"/>
        </w:rPr>
        <w:t>Delimitación</w:t>
      </w:r>
      <w:r w:rsidR="21534EE4" w:rsidRPr="0081375C">
        <w:rPr>
          <w:color w:val="000000" w:themeColor="text1"/>
          <w:lang w:val="es-CO"/>
        </w:rPr>
        <w:t xml:space="preserve"> </w:t>
      </w:r>
      <w:r w:rsidR="24A36094" w:rsidRPr="0081375C">
        <w:rPr>
          <w:color w:val="000000" w:themeColor="text1"/>
          <w:lang w:val="es-CO"/>
        </w:rPr>
        <w:t xml:space="preserve">y </w:t>
      </w:r>
      <w:r w:rsidR="6DCF61B0" w:rsidRPr="0081375C">
        <w:rPr>
          <w:color w:val="000000" w:themeColor="text1"/>
          <w:lang w:val="es-CO"/>
        </w:rPr>
        <w:t>P</w:t>
      </w:r>
      <w:r w:rsidR="24A36094" w:rsidRPr="0081375C">
        <w:rPr>
          <w:color w:val="000000" w:themeColor="text1"/>
          <w:lang w:val="es-CO"/>
        </w:rPr>
        <w:t xml:space="preserve">riorización </w:t>
      </w:r>
      <w:r w:rsidR="21534EE4" w:rsidRPr="0081375C">
        <w:rPr>
          <w:color w:val="000000" w:themeColor="text1"/>
          <w:lang w:val="es-CO"/>
        </w:rPr>
        <w:t xml:space="preserve">del </w:t>
      </w:r>
      <w:r w:rsidR="10E5DCA3" w:rsidRPr="0081375C">
        <w:rPr>
          <w:color w:val="000000" w:themeColor="text1"/>
          <w:lang w:val="es-CO"/>
        </w:rPr>
        <w:t>E</w:t>
      </w:r>
      <w:r w:rsidR="21534EE4" w:rsidRPr="0081375C">
        <w:rPr>
          <w:color w:val="000000" w:themeColor="text1"/>
          <w:lang w:val="es-CO"/>
        </w:rPr>
        <w:t xml:space="preserve">cosistema </w:t>
      </w:r>
      <w:r w:rsidR="0E7F48E5" w:rsidRPr="0081375C">
        <w:rPr>
          <w:color w:val="000000" w:themeColor="text1"/>
          <w:lang w:val="es-CO"/>
        </w:rPr>
        <w:t>E</w:t>
      </w:r>
      <w:r w:rsidR="021D9822" w:rsidRPr="0081375C">
        <w:rPr>
          <w:color w:val="000000" w:themeColor="text1"/>
          <w:lang w:val="es-CO"/>
        </w:rPr>
        <w:t>stratégico</w:t>
      </w:r>
      <w:r w:rsidR="562C2F64" w:rsidRPr="0081375C">
        <w:rPr>
          <w:color w:val="000000" w:themeColor="text1"/>
          <w:lang w:val="es-CO"/>
        </w:rPr>
        <w:t xml:space="preserve"> </w:t>
      </w:r>
      <w:proofErr w:type="spellStart"/>
      <w:r w:rsidR="562C2F64" w:rsidRPr="0081375C">
        <w:rPr>
          <w:color w:val="000000" w:themeColor="text1"/>
          <w:lang w:val="es-CO"/>
        </w:rPr>
        <w:t>PSABio</w:t>
      </w:r>
      <w:bookmarkEnd w:id="21"/>
      <w:proofErr w:type="spellEnd"/>
    </w:p>
    <w:p w14:paraId="3906CEF8" w14:textId="483064CB" w:rsidR="7670D8C4" w:rsidRPr="0081375C" w:rsidRDefault="7670D8C4" w:rsidP="7670D8C4">
      <w:pPr>
        <w:spacing w:line="23" w:lineRule="atLeast"/>
        <w:jc w:val="both"/>
        <w:rPr>
          <w:rFonts w:ascii="Arial" w:hAnsi="Arial" w:cs="Arial"/>
          <w:color w:val="000000" w:themeColor="text1"/>
        </w:rPr>
      </w:pPr>
    </w:p>
    <w:p w14:paraId="4C558149"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La priorización de áreas elegibles para la implementación del PSA Biodiversidad constituye un elemento fundamental para orientar estratégicamente los esfuerzos de gestión ambiental en el Distrito de Medellín. Para ello, se retoman los resultados generados por el equipo consultor del DAP en 2025, consignados en el documento </w:t>
      </w:r>
      <w:r w:rsidRPr="0081375C">
        <w:rPr>
          <w:rFonts w:ascii="Arial" w:hAnsi="Arial"/>
          <w:i/>
          <w:color w:val="000000" w:themeColor="text1"/>
        </w:rPr>
        <w:t xml:space="preserve">“Criterios de priorización para la implementación del esquema de Pago por Servicios Ambientales en modalidad de Biodiversidad”. </w:t>
      </w:r>
      <w:r w:rsidRPr="0081375C">
        <w:rPr>
          <w:rFonts w:ascii="Arial" w:eastAsia="Aptos" w:hAnsi="Arial" w:cs="Arial"/>
          <w:color w:val="000000" w:themeColor="text1"/>
        </w:rPr>
        <w:t>No obstante, durante la revisión técnica se identificó la necesidad de complementar algunos aspectos estratégicos del ejercicio inicial, especialmente en el ámbito rural.</w:t>
      </w:r>
    </w:p>
    <w:p w14:paraId="2DDED861" w14:textId="77777777" w:rsidR="7670D8C4" w:rsidRPr="0081375C" w:rsidRDefault="7670D8C4" w:rsidP="7670D8C4">
      <w:pPr>
        <w:spacing w:line="23" w:lineRule="atLeast"/>
        <w:jc w:val="both"/>
        <w:rPr>
          <w:rFonts w:ascii="Arial" w:eastAsia="Aptos" w:hAnsi="Arial" w:cs="Arial"/>
          <w:color w:val="000000" w:themeColor="text1"/>
        </w:rPr>
      </w:pPr>
    </w:p>
    <w:p w14:paraId="53809E99" w14:textId="63563EA9"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En este marco, la zona urbana mantuvo el alcance definido en la propuesta original, mientras que para el área rural se desarrolló un replanteamiento metodológico. Este ajuste tomó como punto de partida el polígono inicial propuesto por el DAP </w:t>
      </w:r>
      <w:r w:rsidR="08FA6474" w:rsidRPr="0081375C">
        <w:rPr>
          <w:rFonts w:ascii="Arial" w:eastAsia="Aptos" w:hAnsi="Arial" w:cs="Arial"/>
          <w:color w:val="000000" w:themeColor="text1"/>
        </w:rPr>
        <w:t xml:space="preserve">(área de enfoque) </w:t>
      </w:r>
      <w:r w:rsidRPr="0081375C">
        <w:rPr>
          <w:rFonts w:ascii="Arial" w:eastAsia="Aptos" w:hAnsi="Arial" w:cs="Arial"/>
          <w:color w:val="000000" w:themeColor="text1"/>
        </w:rPr>
        <w:t>y amplió el análisis mediante la incorporación de áreas de importancia estratégica para el municipio, incluyendo predios vinculados a otros esquemas de PSA y áreas localizadas dentro de figuras de protección con diferentes categorías de manejo</w:t>
      </w:r>
      <w:r w:rsidR="69AA1DBD" w:rsidRPr="0081375C">
        <w:rPr>
          <w:rFonts w:ascii="Arial" w:eastAsia="Aptos" w:hAnsi="Arial" w:cs="Arial"/>
          <w:color w:val="000000" w:themeColor="text1"/>
        </w:rPr>
        <w:t xml:space="preserve"> y variables de diferentes grupos indicadores de biodiversidad</w:t>
      </w:r>
      <w:r w:rsidRPr="0081375C">
        <w:rPr>
          <w:rFonts w:ascii="Arial" w:eastAsia="Aptos" w:hAnsi="Arial" w:cs="Arial"/>
          <w:color w:val="000000" w:themeColor="text1"/>
        </w:rPr>
        <w:t>.</w:t>
      </w:r>
    </w:p>
    <w:p w14:paraId="1A4A8496" w14:textId="77777777" w:rsidR="7670D8C4" w:rsidRPr="0081375C" w:rsidRDefault="7670D8C4" w:rsidP="7670D8C4">
      <w:pPr>
        <w:spacing w:line="23" w:lineRule="atLeast"/>
        <w:jc w:val="both"/>
        <w:rPr>
          <w:rFonts w:ascii="Arial" w:eastAsia="Aptos" w:hAnsi="Arial" w:cs="Arial"/>
          <w:color w:val="000000" w:themeColor="text1"/>
        </w:rPr>
      </w:pPr>
    </w:p>
    <w:p w14:paraId="16BE8674"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 partir de esta delimitación, se evaluaron cinco criterios de priorización: conectividad ecológica, calidad de la vegetación, dinámica de la vegetación, biodiversidad y grado de amenaza de los ecosistemas naturales por presión antrópica, asociada principalmente a la presión demográfica sobre las coberturas naturales. La delimitación resultante de este proceso se denominó área de enfoque para la implementación del PSA Biodiversidad.</w:t>
      </w:r>
    </w:p>
    <w:p w14:paraId="5CC244A5" w14:textId="77777777" w:rsidR="7670D8C4" w:rsidRPr="0081375C" w:rsidRDefault="7670D8C4" w:rsidP="7670D8C4">
      <w:pPr>
        <w:spacing w:line="23" w:lineRule="atLeast"/>
        <w:jc w:val="both"/>
        <w:rPr>
          <w:rFonts w:ascii="Arial" w:eastAsia="Aptos" w:hAnsi="Arial" w:cs="Arial"/>
          <w:color w:val="000000" w:themeColor="text1"/>
        </w:rPr>
      </w:pPr>
    </w:p>
    <w:p w14:paraId="6887DC74"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Este ajuste metodológico permite contar con una lectura más amplia e incluyente del territorio, orientada a evaluar de manera integral el potencial de las áreas para aportar a la conservación, la restauración, la conectividad ecológica y la sostenibilidad de la biodiversidad. Asimismo, fortalece la consistencia técnica del proceso de priorización y aumenta la posibilidad de identificar predios con relevancia ecológica, valor estratégico o potencial de gestión a escala del paisaje, mejorando la capacidad del instrumento para orientar decisiones acordes con las necesidades actuales de gestión ambiental del Distrito de Medellín.</w:t>
      </w:r>
    </w:p>
    <w:p w14:paraId="3262489D" w14:textId="77777777" w:rsidR="7670D8C4" w:rsidRPr="0081375C" w:rsidRDefault="7670D8C4" w:rsidP="7670D8C4">
      <w:pPr>
        <w:spacing w:line="23" w:lineRule="atLeast"/>
        <w:jc w:val="both"/>
        <w:rPr>
          <w:rFonts w:ascii="Arial" w:eastAsia="Aptos" w:hAnsi="Arial" w:cs="Arial"/>
          <w:color w:val="000000" w:themeColor="text1"/>
        </w:rPr>
      </w:pPr>
    </w:p>
    <w:p w14:paraId="6041FC6A"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La biodiversidad, entendida en términos de especies, hace referencia a la variedad, riqueza y abundancia de organismos vivos presentes en un área determinada, así como a su distribución y a las interacciones ecológicas que sostienen el funcionamiento de los ecosistemas. Su evaluación resulta fundamental para determinar el estado de conservación y la resiliencia ecológica de los territorios, y constituye un insumo clave para orientar estrategias de manejo y conservación más efectivas (</w:t>
      </w:r>
      <w:proofErr w:type="spellStart"/>
      <w:r w:rsidRPr="0081375C">
        <w:rPr>
          <w:rFonts w:ascii="Arial" w:eastAsia="Aptos" w:hAnsi="Arial" w:cs="Arial"/>
          <w:color w:val="000000" w:themeColor="text1"/>
        </w:rPr>
        <w:t>Begon</w:t>
      </w:r>
      <w:proofErr w:type="spellEnd"/>
      <w:r w:rsidRPr="0081375C">
        <w:rPr>
          <w:rFonts w:ascii="Arial" w:eastAsia="Aptos" w:hAnsi="Arial" w:cs="Arial"/>
          <w:color w:val="000000" w:themeColor="text1"/>
        </w:rPr>
        <w:t>, 2021).</w:t>
      </w:r>
    </w:p>
    <w:p w14:paraId="4D96B7FB" w14:textId="77777777" w:rsidR="7670D8C4" w:rsidRPr="0081375C" w:rsidRDefault="7670D8C4" w:rsidP="7670D8C4">
      <w:pPr>
        <w:spacing w:line="23" w:lineRule="atLeast"/>
        <w:jc w:val="both"/>
        <w:rPr>
          <w:rFonts w:ascii="Arial" w:eastAsia="Aptos" w:hAnsi="Arial" w:cs="Arial"/>
          <w:color w:val="000000" w:themeColor="text1"/>
        </w:rPr>
      </w:pPr>
    </w:p>
    <w:p w14:paraId="14F8F068" w14:textId="6D59076C"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lastRenderedPageBreak/>
        <w:t>En el Distrito de Medellín, la gestión de la biodiversidad enfrenta retos diferenciados debido a la marcada heterogeneidad entre los ámbitos urbano y rural. El 24 % del territorio corresponde al área urbana, donde la biodiversidad se encuentra fuertemente presionada por procesos de urbanización, contaminación, pérdida de suelos, reducción de coberturas vegetales y fragmentación de hábitats naturales. Por su parte, el área rural, que representa el 76% del territorio distrital, también presenta presiones sobre el suelo y la vegetación, aunque asociadas a dinámicas productivas, formas de ocupación y usos del territorio distintos a los del entorno urbano.</w:t>
      </w:r>
    </w:p>
    <w:p w14:paraId="08BF6419" w14:textId="77777777" w:rsidR="7670D8C4" w:rsidRPr="0081375C" w:rsidRDefault="7670D8C4" w:rsidP="7670D8C4">
      <w:pPr>
        <w:spacing w:line="23" w:lineRule="atLeast"/>
        <w:jc w:val="both"/>
        <w:rPr>
          <w:rFonts w:ascii="Arial" w:eastAsia="Aptos" w:hAnsi="Arial" w:cs="Arial"/>
          <w:color w:val="000000" w:themeColor="text1"/>
        </w:rPr>
      </w:pPr>
    </w:p>
    <w:p w14:paraId="65A523D3" w14:textId="1AF5CAE9"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En este contexto, la definición de criterios para </w:t>
      </w:r>
      <w:r w:rsidRPr="0081375C">
        <w:rPr>
          <w:rFonts w:ascii="Arial" w:hAnsi="Arial"/>
          <w:color w:val="000000" w:themeColor="text1"/>
        </w:rPr>
        <w:t>priorizar</w:t>
      </w:r>
      <w:r w:rsidRPr="0081375C">
        <w:rPr>
          <w:rFonts w:ascii="Arial" w:eastAsia="Aptos" w:hAnsi="Arial" w:cs="Arial"/>
          <w:color w:val="000000" w:themeColor="text1"/>
        </w:rPr>
        <w:t xml:space="preserve"> áreas susceptibles de implementar PSA en la modalidad de biodiversidad se plantea como una herramienta para articular los principales retos y oportunidades de la gestión ambiental en el Distrito. Aunque el territorio presenta condiciones biofísicas, ecológicas y de ocupación diferenciadas, estas pueden abordarse mediante un marco común que permita prevenir la pérdida de biodiversidad, reducir la degradación de los ecosistemas y fortalecer la provisión de servicios ecosistémicos estratégicos.</w:t>
      </w:r>
    </w:p>
    <w:p w14:paraId="71E04F50" w14:textId="77777777" w:rsidR="7670D8C4" w:rsidRPr="0081375C" w:rsidRDefault="7670D8C4" w:rsidP="7670D8C4">
      <w:pPr>
        <w:spacing w:line="23" w:lineRule="atLeast"/>
        <w:jc w:val="both"/>
        <w:rPr>
          <w:rFonts w:ascii="Arial" w:eastAsia="Aptos" w:hAnsi="Arial" w:cs="Arial"/>
          <w:color w:val="000000" w:themeColor="text1"/>
        </w:rPr>
      </w:pPr>
    </w:p>
    <w:p w14:paraId="6B694BCB"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términos generales, la gestión de la biodiversidad implica generar y mantener condiciones favorables para que las especies desarrollen sus ciclos biológicos y persistan en el territorio. Por ello, resulta fundamental establecer criterios técnicos que permitan identificar áreas con mayores aptitudes para la implementación de estrategias de conservación, restauración y manejo efectivo de los recursos naturales. En este sentido, el PSA Biodiversidad constituye una alternativa relevante para contribuir a la sostenibilidad ecológica del territorio y a la permanencia de sus valores ambientales.</w:t>
      </w:r>
    </w:p>
    <w:p w14:paraId="1CEFF938" w14:textId="77777777" w:rsidR="7670D8C4" w:rsidRPr="0081375C" w:rsidRDefault="7670D8C4" w:rsidP="7670D8C4">
      <w:pPr>
        <w:spacing w:line="23" w:lineRule="atLeast"/>
        <w:jc w:val="both"/>
        <w:rPr>
          <w:rFonts w:ascii="Arial" w:eastAsia="Aptos" w:hAnsi="Arial" w:cs="Arial"/>
          <w:color w:val="000000" w:themeColor="text1"/>
        </w:rPr>
      </w:pPr>
    </w:p>
    <w:p w14:paraId="6C31E28E"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Finalmente, para la definición de los criterios de priorización y la calificación de las variables asociadas, se desarrollaron mesas de trabajo internas con un equipo interdisciplinario. Los resultados de este ejercicio fueron posteriormente discutidos y concertados con la Secretaría de Medio Ambiente, con el fin de consolidar una propuesta técnica coherente con el contexto territorial y los objetivos de gestión de la biodiversidad en el Distrito de Medellín.</w:t>
      </w:r>
    </w:p>
    <w:p w14:paraId="18BCB494" w14:textId="77777777" w:rsidR="7670D8C4" w:rsidRPr="0081375C" w:rsidRDefault="7670D8C4" w:rsidP="7670D8C4">
      <w:pPr>
        <w:spacing w:line="23" w:lineRule="atLeast"/>
        <w:jc w:val="both"/>
        <w:rPr>
          <w:rFonts w:ascii="Arial" w:eastAsia="Aptos" w:hAnsi="Arial" w:cs="Arial"/>
          <w:color w:val="000000" w:themeColor="text1"/>
        </w:rPr>
      </w:pPr>
    </w:p>
    <w:p w14:paraId="2A2063EE" w14:textId="1248EF93" w:rsidR="5019CF5E" w:rsidRPr="0081375C" w:rsidRDefault="031328A6" w:rsidP="00DD124D">
      <w:pPr>
        <w:pStyle w:val="Ttulo4"/>
        <w:numPr>
          <w:ilvl w:val="3"/>
          <w:numId w:val="27"/>
        </w:numPr>
        <w:spacing w:before="0" w:after="0" w:line="23" w:lineRule="atLeast"/>
        <w:rPr>
          <w:rFonts w:eastAsia="Aptos" w:cs="Arial"/>
          <w:bCs/>
          <w:color w:val="000000" w:themeColor="text1"/>
        </w:rPr>
      </w:pPr>
      <w:bookmarkStart w:id="24" w:name="_Toc233304170"/>
      <w:r w:rsidRPr="0081375C">
        <w:rPr>
          <w:rFonts w:eastAsia="Aptos" w:cs="Arial"/>
          <w:bCs/>
          <w:color w:val="000000" w:themeColor="text1"/>
        </w:rPr>
        <w:t xml:space="preserve">Insumos </w:t>
      </w:r>
      <w:r w:rsidR="5E06A3DA" w:rsidRPr="0081375C">
        <w:rPr>
          <w:rFonts w:eastAsia="Aptos" w:cs="Arial"/>
          <w:bCs/>
          <w:color w:val="000000" w:themeColor="text1"/>
        </w:rPr>
        <w:t>R</w:t>
      </w:r>
      <w:r w:rsidRPr="0081375C">
        <w:rPr>
          <w:rFonts w:eastAsia="Aptos" w:cs="Arial"/>
          <w:bCs/>
          <w:color w:val="000000" w:themeColor="text1"/>
        </w:rPr>
        <w:t>equeridos</w:t>
      </w:r>
      <w:bookmarkEnd w:id="24"/>
    </w:p>
    <w:p w14:paraId="36B6E6D9" w14:textId="77777777" w:rsidR="7670D8C4" w:rsidRPr="0081375C" w:rsidRDefault="7670D8C4" w:rsidP="009E42DF"/>
    <w:p w14:paraId="4DDCF9B4"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El análisis requiere los siguientes insumos, todos validados en cobertura espacial completa sobre el área de enfoque antes de ejecutar la puntuación; ningún criterio se calcula sobre insumos incompletos.</w:t>
      </w:r>
    </w:p>
    <w:p w14:paraId="558CB691" w14:textId="77777777" w:rsidR="7670D8C4" w:rsidRPr="0081375C" w:rsidRDefault="7670D8C4" w:rsidP="7670D8C4">
      <w:pPr>
        <w:spacing w:line="23" w:lineRule="atLeast"/>
        <w:jc w:val="both"/>
        <w:rPr>
          <w:rFonts w:ascii="Arial" w:eastAsia="Aptos" w:hAnsi="Arial" w:cs="Arial"/>
          <w:b/>
          <w:bCs/>
          <w:color w:val="000000" w:themeColor="text1"/>
          <w:sz w:val="20"/>
          <w:szCs w:val="20"/>
        </w:rPr>
      </w:pPr>
    </w:p>
    <w:p w14:paraId="0180036A" w14:textId="0CB4C4ED" w:rsidR="5019CF5E" w:rsidRPr="0081375C" w:rsidRDefault="5019CF5E" w:rsidP="7670D8C4">
      <w:pPr>
        <w:spacing w:line="23" w:lineRule="atLeast"/>
        <w:jc w:val="both"/>
        <w:rPr>
          <w:rFonts w:ascii="Arial" w:hAnsi="Arial" w:cs="Arial"/>
          <w:b/>
          <w:bCs/>
          <w:color w:val="000000" w:themeColor="text1"/>
          <w:sz w:val="20"/>
          <w:szCs w:val="20"/>
        </w:rPr>
      </w:pPr>
      <w:bookmarkStart w:id="25" w:name="_Toc233040651"/>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Análisis de insumos</w:t>
      </w:r>
      <w:bookmarkEnd w:id="25"/>
    </w:p>
    <w:tbl>
      <w:tblPr>
        <w:tblW w:w="0" w:type="auto"/>
        <w:tblLook w:val="0600" w:firstRow="0" w:lastRow="0" w:firstColumn="0" w:lastColumn="0" w:noHBand="1" w:noVBand="1"/>
      </w:tblPr>
      <w:tblGrid>
        <w:gridCol w:w="4106"/>
        <w:gridCol w:w="2124"/>
        <w:gridCol w:w="2406"/>
      </w:tblGrid>
      <w:tr w:rsidR="7670D8C4" w:rsidRPr="0081375C" w14:paraId="0C2261FF" w14:textId="77777777" w:rsidTr="00C35122">
        <w:trPr>
          <w:trHeight w:val="20"/>
          <w:tblHead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A418C8" w14:textId="77777777" w:rsidR="7670D8C4" w:rsidRPr="0081375C" w:rsidRDefault="307E7E4F" w:rsidP="00C35122">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Insumo</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D2F2D1"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Fuente</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9642E" w14:textId="77777777" w:rsidR="7670D8C4" w:rsidRPr="0081375C" w:rsidRDefault="307E7E4F" w:rsidP="00C3512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Criterio</w:t>
            </w:r>
          </w:p>
        </w:tc>
      </w:tr>
      <w:tr w:rsidR="7670D8C4" w:rsidRPr="0081375C" w14:paraId="2B28B071"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81003F"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Corredores ecológicos para fauna en la zona rural y urbano (núcleos y zonas de enlace)</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49C4E7"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Secretaría de Medio Ambiente y DAP</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FDB99C"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C1</w:t>
            </w:r>
          </w:p>
        </w:tc>
      </w:tr>
      <w:tr w:rsidR="7670D8C4" w:rsidRPr="0081375C" w14:paraId="21627C7D"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CA4C30"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lastRenderedPageBreak/>
              <w:t>Mapa de coberturas 2021 (CORINE Land Cover)</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5AB6EA"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SIG Distrital</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7C4F5C"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C2 Factor 1</w:t>
            </w:r>
          </w:p>
        </w:tc>
      </w:tr>
      <w:tr w:rsidR="7670D8C4" w:rsidRPr="0081375C" w14:paraId="347D9E8F"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939F9" w14:textId="77777777" w:rsidR="7670D8C4" w:rsidRPr="0081375C" w:rsidRDefault="7670D8C4" w:rsidP="00C35122">
            <w:pPr>
              <w:spacing w:line="23" w:lineRule="atLeast"/>
              <w:jc w:val="center"/>
              <w:rPr>
                <w:rFonts w:ascii="Arial" w:hAnsi="Arial" w:cs="Arial"/>
                <w:color w:val="000000" w:themeColor="text1"/>
                <w:sz w:val="20"/>
                <w:szCs w:val="20"/>
              </w:rPr>
            </w:pPr>
            <w:proofErr w:type="spellStart"/>
            <w:r w:rsidRPr="0081375C">
              <w:rPr>
                <w:rFonts w:ascii="Arial" w:eastAsia="Arial" w:hAnsi="Arial" w:cs="Arial"/>
                <w:color w:val="000000" w:themeColor="text1"/>
                <w:sz w:val="20"/>
                <w:szCs w:val="20"/>
              </w:rPr>
              <w:t>Raster</w:t>
            </w:r>
            <w:proofErr w:type="spellEnd"/>
            <w:r w:rsidRPr="0081375C">
              <w:rPr>
                <w:rFonts w:ascii="Arial" w:eastAsia="Arial" w:hAnsi="Arial" w:cs="Arial"/>
                <w:color w:val="000000" w:themeColor="text1"/>
                <w:sz w:val="20"/>
                <w:szCs w:val="20"/>
              </w:rPr>
              <w:t xml:space="preserve"> bosque / no bosque / zonas degradadas (ortofoto 2024)</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5A22A"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SIG Distrital</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83FF17"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C2 Factor 2, C5 IVR</w:t>
            </w:r>
          </w:p>
        </w:tc>
      </w:tr>
      <w:tr w:rsidR="7670D8C4" w:rsidRPr="0081375C" w14:paraId="29B6F0B0"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D48D83"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Imágenes Sentinel 10×10 m (2017 y 2024)</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C9D3C5"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Copernicus</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112DB"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C3 NDVI multitemporal</w:t>
            </w:r>
          </w:p>
        </w:tc>
      </w:tr>
      <w:tr w:rsidR="7670D8C4" w:rsidRPr="0081375C" w14:paraId="134783D5"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B3AB33"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Modelos GAM de riqueza potencial de especies (flora, aves, mamíferos, </w:t>
            </w:r>
            <w:proofErr w:type="spellStart"/>
            <w:r w:rsidRPr="0081375C">
              <w:rPr>
                <w:rFonts w:ascii="Arial" w:eastAsia="Arial" w:hAnsi="Arial" w:cs="Arial"/>
                <w:color w:val="000000" w:themeColor="text1"/>
                <w:sz w:val="20"/>
                <w:szCs w:val="20"/>
              </w:rPr>
              <w:t>herpetos</w:t>
            </w:r>
            <w:proofErr w:type="spellEnd"/>
            <w:r w:rsidRPr="0081375C">
              <w:rPr>
                <w:rFonts w:ascii="Arial" w:eastAsia="Arial" w:hAnsi="Arial" w:cs="Arial"/>
                <w:color w:val="000000" w:themeColor="text1"/>
                <w:sz w:val="20"/>
                <w:szCs w:val="20"/>
              </w:rPr>
              <w:t>)</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FD373C" w14:textId="77777777" w:rsidR="7670D8C4" w:rsidRPr="0081375C" w:rsidRDefault="7670D8C4" w:rsidP="00C3512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Estudios de biodiversidad del Distrito e información de GBIF</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B880FB"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C4</w:t>
            </w:r>
          </w:p>
        </w:tc>
      </w:tr>
      <w:tr w:rsidR="7670D8C4" w:rsidRPr="0081375C" w14:paraId="5CC08DBD"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28B7C" w14:textId="77777777" w:rsidR="7670D8C4" w:rsidRPr="0081375C" w:rsidRDefault="7670D8C4" w:rsidP="00C3512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Modelo de distribución de especies (Idoneidad de hábitat de flora, aves, mamíferos, </w:t>
            </w:r>
            <w:proofErr w:type="spellStart"/>
            <w:r w:rsidRPr="0081375C">
              <w:rPr>
                <w:rFonts w:ascii="Arial" w:eastAsia="Arial" w:hAnsi="Arial" w:cs="Arial"/>
                <w:color w:val="000000" w:themeColor="text1"/>
                <w:sz w:val="20"/>
                <w:szCs w:val="20"/>
              </w:rPr>
              <w:t>herpetos</w:t>
            </w:r>
            <w:proofErr w:type="spellEnd"/>
            <w:r w:rsidRPr="0081375C">
              <w:rPr>
                <w:rFonts w:ascii="Arial" w:eastAsia="Arial" w:hAnsi="Arial" w:cs="Arial"/>
                <w:color w:val="000000" w:themeColor="text1"/>
                <w:sz w:val="20"/>
                <w:szCs w:val="20"/>
              </w:rPr>
              <w:t>)</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E68BA3" w14:textId="77777777" w:rsidR="7670D8C4" w:rsidRPr="0081375C" w:rsidRDefault="7670D8C4" w:rsidP="00C3512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Estudios de biodiversidad del Distrito e información de GBIF</w:t>
            </w:r>
          </w:p>
          <w:p w14:paraId="039703B4" w14:textId="77777777" w:rsidR="7670D8C4" w:rsidRPr="0081375C" w:rsidRDefault="7670D8C4" w:rsidP="00C35122">
            <w:pPr>
              <w:spacing w:line="23" w:lineRule="atLeast"/>
              <w:jc w:val="center"/>
              <w:rPr>
                <w:rFonts w:ascii="Arial" w:eastAsia="Arial" w:hAnsi="Arial" w:cs="Arial"/>
                <w:color w:val="000000" w:themeColor="text1"/>
                <w:sz w:val="20"/>
                <w:szCs w:val="20"/>
              </w:rPr>
            </w:pP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D838D3"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C4</w:t>
            </w:r>
          </w:p>
          <w:p w14:paraId="1DFB0627" w14:textId="77777777" w:rsidR="7670D8C4" w:rsidRPr="0081375C" w:rsidRDefault="7670D8C4" w:rsidP="00C35122">
            <w:pPr>
              <w:spacing w:line="23" w:lineRule="atLeast"/>
              <w:jc w:val="center"/>
              <w:rPr>
                <w:rFonts w:ascii="Arial" w:eastAsia="Arial" w:hAnsi="Arial" w:cs="Arial"/>
                <w:color w:val="000000" w:themeColor="text1"/>
                <w:sz w:val="20"/>
                <w:szCs w:val="20"/>
              </w:rPr>
            </w:pPr>
          </w:p>
        </w:tc>
      </w:tr>
      <w:tr w:rsidR="7670D8C4" w:rsidRPr="0081375C" w14:paraId="45963C44"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24432"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Densidad poblacional y tasa de crecimiento por corregimiento (DANE, proyección 2026)</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C79147"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DANE</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159E96"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C5 IPD</w:t>
            </w:r>
          </w:p>
        </w:tc>
      </w:tr>
      <w:tr w:rsidR="7670D8C4" w:rsidRPr="0081375C" w14:paraId="7C081F6E" w14:textId="77777777" w:rsidTr="00C35122">
        <w:trPr>
          <w:trHeight w:val="2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2B493"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Catastro predial</w:t>
            </w:r>
          </w:p>
        </w:tc>
        <w:tc>
          <w:tcPr>
            <w:tcW w:w="21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8010C0"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IGAC / SIG Distrital</w:t>
            </w:r>
          </w:p>
        </w:tc>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0C044" w14:textId="77777777" w:rsidR="7670D8C4" w:rsidRPr="0081375C" w:rsidRDefault="7670D8C4" w:rsidP="00C3512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Base</w:t>
            </w:r>
          </w:p>
        </w:tc>
      </w:tr>
    </w:tbl>
    <w:p w14:paraId="61ADD907" w14:textId="77777777" w:rsidR="5019CF5E" w:rsidRPr="0081375C" w:rsidRDefault="5019CF5E" w:rsidP="7670D8C4">
      <w:pPr>
        <w:spacing w:line="23" w:lineRule="atLeast"/>
        <w:jc w:val="both"/>
        <w:rPr>
          <w:rFonts w:ascii="Arial" w:eastAsia="Arial" w:hAnsi="Arial" w:cs="Arial"/>
          <w:color w:val="000000" w:themeColor="text1"/>
          <w:sz w:val="18"/>
          <w:szCs w:val="18"/>
        </w:rPr>
      </w:pPr>
      <w:r w:rsidRPr="0081375C">
        <w:rPr>
          <w:rFonts w:ascii="Arial" w:eastAsia="Aptos" w:hAnsi="Arial" w:cs="Arial"/>
          <w:color w:val="000000" w:themeColor="text1"/>
          <w:sz w:val="18"/>
          <w:szCs w:val="18"/>
        </w:rPr>
        <w:t>IPD: Índice de Presión Demográfica, IVR: Índice de Vegetación Remanente, C1: Criterio 1, C2: Criterio 2, C3: Criterio 3, C4: Criterio 4, C5: Criterio 5, Factor 1: variable 1 obtenida para la evaluación del criterio (Mapa de coberturas 2021, CORINE Land Cover), Facto 2: variable 2 obtenida para la evaluación del criterio (</w:t>
      </w:r>
      <w:proofErr w:type="spellStart"/>
      <w:r w:rsidRPr="0081375C">
        <w:rPr>
          <w:rFonts w:ascii="Arial" w:eastAsia="Aptos" w:hAnsi="Arial" w:cs="Arial"/>
          <w:color w:val="000000" w:themeColor="text1"/>
          <w:sz w:val="18"/>
          <w:szCs w:val="18"/>
        </w:rPr>
        <w:t>Raster</w:t>
      </w:r>
      <w:proofErr w:type="spellEnd"/>
      <w:r w:rsidRPr="0081375C">
        <w:rPr>
          <w:rFonts w:ascii="Arial" w:eastAsia="Aptos" w:hAnsi="Arial" w:cs="Arial"/>
          <w:color w:val="000000" w:themeColor="text1"/>
          <w:sz w:val="18"/>
          <w:szCs w:val="18"/>
        </w:rPr>
        <w:t xml:space="preserve"> bosque / no bosque / zonas degradadas (ortofoto 2024), NDVI multitemporal (</w:t>
      </w:r>
      <w:r w:rsidRPr="0081375C">
        <w:rPr>
          <w:rFonts w:ascii="Arial" w:eastAsia="Arial" w:hAnsi="Arial" w:cs="Arial"/>
          <w:color w:val="000000" w:themeColor="text1"/>
          <w:sz w:val="18"/>
          <w:szCs w:val="18"/>
        </w:rPr>
        <w:t>Índice de Vegetación de Diferencia Normalizada</w:t>
      </w:r>
      <w:r w:rsidRPr="0081375C">
        <w:rPr>
          <w:rFonts w:ascii="Arial" w:eastAsia="Aptos" w:hAnsi="Arial" w:cs="Arial"/>
          <w:color w:val="000000" w:themeColor="text1"/>
          <w:sz w:val="18"/>
          <w:szCs w:val="18"/>
        </w:rPr>
        <w:t xml:space="preserve">), </w:t>
      </w:r>
      <w:r w:rsidRPr="0081375C">
        <w:rPr>
          <w:rFonts w:ascii="Arial" w:eastAsia="Arial" w:hAnsi="Arial" w:cs="Arial"/>
          <w:color w:val="000000" w:themeColor="text1"/>
          <w:sz w:val="18"/>
          <w:szCs w:val="18"/>
        </w:rPr>
        <w:t>GBIF: Sistema Global de Información sobre Biodiversidad</w:t>
      </w:r>
    </w:p>
    <w:p w14:paraId="1ED9F0D1" w14:textId="77777777" w:rsidR="7670D8C4" w:rsidRPr="0081375C" w:rsidRDefault="7670D8C4" w:rsidP="7670D8C4">
      <w:pPr>
        <w:spacing w:line="23" w:lineRule="atLeast"/>
        <w:jc w:val="both"/>
        <w:rPr>
          <w:rFonts w:ascii="Arial" w:eastAsia="Arial" w:hAnsi="Arial" w:cs="Arial"/>
          <w:color w:val="000000" w:themeColor="text1"/>
          <w:sz w:val="18"/>
          <w:szCs w:val="18"/>
        </w:rPr>
      </w:pPr>
    </w:p>
    <w:p w14:paraId="0069BE66"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Toda la información generada en los análisis de áreas elegibles, incluyendo archivos </w:t>
      </w:r>
      <w:proofErr w:type="spellStart"/>
      <w:r w:rsidRPr="0081375C">
        <w:rPr>
          <w:rFonts w:ascii="Arial" w:eastAsia="Aptos" w:hAnsi="Arial" w:cs="Arial"/>
          <w:color w:val="000000" w:themeColor="text1"/>
        </w:rPr>
        <w:t>shapefile</w:t>
      </w:r>
      <w:proofErr w:type="spellEnd"/>
      <w:r w:rsidRPr="0081375C">
        <w:rPr>
          <w:rFonts w:ascii="Arial" w:eastAsia="Aptos" w:hAnsi="Arial" w:cs="Arial"/>
          <w:color w:val="000000" w:themeColor="text1"/>
        </w:rPr>
        <w:t>, ráster, capas SIG base y capas derivadas utilizadas durante el ciclo, se almacenarán y archivarán con fecha de versión, fuente de información y responsable de construcción, como parte del expediente técnico del proyecto.</w:t>
      </w:r>
    </w:p>
    <w:p w14:paraId="6C55159D" w14:textId="77777777" w:rsidR="7670D8C4" w:rsidRPr="0081375C" w:rsidRDefault="7670D8C4" w:rsidP="7670D8C4">
      <w:pPr>
        <w:spacing w:line="23" w:lineRule="atLeast"/>
        <w:jc w:val="both"/>
        <w:rPr>
          <w:rFonts w:ascii="Arial" w:eastAsia="Aptos" w:hAnsi="Arial" w:cs="Arial"/>
          <w:color w:val="000000" w:themeColor="text1"/>
        </w:rPr>
      </w:pPr>
    </w:p>
    <w:p w14:paraId="20A87751" w14:textId="6CE441E3"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Asimismo, el equipo técnico deberá documentar cualquier inconsistencia identificada en la información empleada o resultante de los análisis de áreas elegibles, tales como datos faltantes, discrepancias entre fuentes o cobertura espacial incompleta. Estas inconsistencias deberán ser reportadas a la Subsecretaría correspondiente, con el fin de orientar su revisión y corrección en los ciclos posteriores. </w:t>
      </w:r>
    </w:p>
    <w:p w14:paraId="3BB2B734" w14:textId="77777777" w:rsidR="00DA529E" w:rsidRPr="0081375C" w:rsidRDefault="00DA529E" w:rsidP="7670D8C4">
      <w:pPr>
        <w:spacing w:line="23" w:lineRule="atLeast"/>
        <w:jc w:val="both"/>
        <w:rPr>
          <w:rFonts w:ascii="Arial" w:eastAsia="Aptos" w:hAnsi="Arial" w:cs="Arial"/>
          <w:color w:val="000000" w:themeColor="text1"/>
        </w:rPr>
      </w:pPr>
    </w:p>
    <w:p w14:paraId="054B27A0" w14:textId="3845C4A4" w:rsidR="5019CF5E" w:rsidRPr="0081375C" w:rsidRDefault="031328A6" w:rsidP="0097249E">
      <w:pPr>
        <w:pStyle w:val="Ttulo4"/>
        <w:numPr>
          <w:ilvl w:val="3"/>
          <w:numId w:val="27"/>
        </w:numPr>
        <w:spacing w:before="0" w:after="0" w:line="23" w:lineRule="atLeast"/>
        <w:rPr>
          <w:rFonts w:eastAsia="Aptos" w:cs="Arial"/>
          <w:bCs/>
          <w:color w:val="000000" w:themeColor="text1"/>
        </w:rPr>
      </w:pPr>
      <w:bookmarkStart w:id="26" w:name="_Toc233304171"/>
      <w:r w:rsidRPr="0081375C">
        <w:rPr>
          <w:rFonts w:eastAsia="Aptos" w:cs="Arial"/>
          <w:bCs/>
          <w:color w:val="000000" w:themeColor="text1"/>
        </w:rPr>
        <w:t xml:space="preserve">Función de </w:t>
      </w:r>
      <w:r w:rsidR="098AF9D5" w:rsidRPr="0081375C">
        <w:rPr>
          <w:rFonts w:eastAsia="Aptos" w:cs="Arial"/>
          <w:bCs/>
          <w:color w:val="000000" w:themeColor="text1"/>
        </w:rPr>
        <w:t>P</w:t>
      </w:r>
      <w:r w:rsidRPr="0081375C">
        <w:rPr>
          <w:rFonts w:eastAsia="Aptos" w:cs="Arial"/>
          <w:bCs/>
          <w:color w:val="000000" w:themeColor="text1"/>
        </w:rPr>
        <w:t>untuación</w:t>
      </w:r>
      <w:r w:rsidR="08C214EE" w:rsidRPr="0081375C">
        <w:rPr>
          <w:rFonts w:eastAsia="Aptos" w:cs="Arial"/>
          <w:bCs/>
          <w:color w:val="000000" w:themeColor="text1"/>
        </w:rPr>
        <w:t xml:space="preserve"> </w:t>
      </w:r>
      <w:proofErr w:type="spellStart"/>
      <w:r w:rsidRPr="0081375C">
        <w:rPr>
          <w:rFonts w:eastAsia="Aptos" w:cs="Arial"/>
          <w:bCs/>
          <w:color w:val="000000" w:themeColor="text1"/>
        </w:rPr>
        <w:t>PSABio</w:t>
      </w:r>
      <w:bookmarkEnd w:id="26"/>
      <w:proofErr w:type="spellEnd"/>
    </w:p>
    <w:p w14:paraId="698996CB" w14:textId="77777777" w:rsidR="7670D8C4" w:rsidRPr="0081375C" w:rsidRDefault="7670D8C4" w:rsidP="7670D8C4">
      <w:pPr>
        <w:rPr>
          <w:rFonts w:ascii="Arial" w:hAnsi="Arial" w:cs="Arial"/>
        </w:rPr>
      </w:pPr>
    </w:p>
    <w:p w14:paraId="7FED14C6" w14:textId="77777777" w:rsidR="00680213" w:rsidRPr="0081375C" w:rsidRDefault="0054320A"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La ponderación de los criterios de conectividad ecológica, calidad de la vegetación, dinámica de la vegetación, biodiversidad y presión antrópica se realizó mediante la matriz de Saaty, también conocida como metodología de comparación por pares o </w:t>
      </w:r>
      <w:r w:rsidRPr="0081375C">
        <w:rPr>
          <w:rFonts w:ascii="Arial" w:hAnsi="Arial"/>
          <w:color w:val="000000" w:themeColor="text1"/>
        </w:rPr>
        <w:t>Proceso Analítico Jerárquico</w:t>
      </w:r>
      <w:r w:rsidRPr="0081375C">
        <w:rPr>
          <w:rFonts w:ascii="Arial" w:eastAsia="Aptos" w:hAnsi="Arial" w:cs="Arial"/>
          <w:color w:val="000000" w:themeColor="text1"/>
        </w:rPr>
        <w:t xml:space="preserve"> (AHP-Saaty). Este método permite asignar pesos relativos a cada criterio a partir de su importancia frente a los demás, utilizando una escala de valoración en la que se compara cada criterio de manera individual. </w:t>
      </w:r>
    </w:p>
    <w:p w14:paraId="7092E08B" w14:textId="77777777" w:rsidR="00680213" w:rsidRPr="0081375C" w:rsidRDefault="00680213" w:rsidP="7670D8C4">
      <w:pPr>
        <w:spacing w:line="23" w:lineRule="atLeast"/>
        <w:jc w:val="both"/>
        <w:rPr>
          <w:rFonts w:ascii="Arial" w:eastAsia="Aptos" w:hAnsi="Arial" w:cs="Arial"/>
          <w:color w:val="000000" w:themeColor="text1"/>
        </w:rPr>
      </w:pPr>
    </w:p>
    <w:p w14:paraId="20157BC5" w14:textId="49DB3873" w:rsidR="00557E17" w:rsidRPr="0081375C" w:rsidRDefault="00680213" w:rsidP="00557E17">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En la </w:t>
      </w:r>
      <w:r w:rsidR="00557E17" w:rsidRPr="0081375C">
        <w:rPr>
          <w:rFonts w:ascii="Arial" w:eastAsia="Aptos" w:hAnsi="Arial" w:cs="Arial"/>
          <w:color w:val="000000" w:themeColor="text1"/>
        </w:rPr>
        <w:fldChar w:fldCharType="begin"/>
      </w:r>
      <w:r w:rsidR="00557E17" w:rsidRPr="0081375C">
        <w:rPr>
          <w:rFonts w:ascii="Arial" w:eastAsia="Aptos" w:hAnsi="Arial" w:cs="Arial"/>
          <w:color w:val="000000" w:themeColor="text1"/>
        </w:rPr>
        <w:instrText xml:space="preserve"> REF _Ref235512786 \h </w:instrText>
      </w:r>
      <w:r w:rsidR="00282D24" w:rsidRPr="0081375C">
        <w:rPr>
          <w:rFonts w:ascii="Arial" w:eastAsia="Aptos" w:hAnsi="Arial" w:cs="Arial"/>
          <w:color w:val="000000" w:themeColor="text1"/>
        </w:rPr>
        <w:instrText xml:space="preserve"> \* MERGEFORMAT </w:instrText>
      </w:r>
      <w:r w:rsidR="00557E17" w:rsidRPr="0081375C">
        <w:rPr>
          <w:rFonts w:ascii="Arial" w:eastAsia="Aptos" w:hAnsi="Arial" w:cs="Arial"/>
          <w:color w:val="000000" w:themeColor="text1"/>
        </w:rPr>
      </w:r>
      <w:r w:rsidR="00557E17" w:rsidRPr="0081375C">
        <w:rPr>
          <w:rFonts w:ascii="Arial" w:eastAsia="Aptos" w:hAnsi="Arial" w:cs="Arial"/>
          <w:color w:val="000000" w:themeColor="text1"/>
        </w:rPr>
        <w:fldChar w:fldCharType="separate"/>
      </w:r>
      <w:r w:rsidR="00557E17" w:rsidRPr="0081375C">
        <w:rPr>
          <w:rFonts w:ascii="Arial" w:eastAsia="Aptos" w:hAnsi="Arial" w:cs="Arial"/>
          <w:color w:val="000000" w:themeColor="text1"/>
        </w:rPr>
        <w:t>Tabla 3</w:t>
      </w:r>
      <w:r w:rsidR="00557E17" w:rsidRPr="0081375C">
        <w:rPr>
          <w:rFonts w:ascii="Arial" w:eastAsia="Aptos" w:hAnsi="Arial" w:cs="Arial"/>
          <w:color w:val="000000" w:themeColor="text1"/>
        </w:rPr>
        <w:fldChar w:fldCharType="end"/>
      </w:r>
      <w:r w:rsidR="00282D24" w:rsidRPr="0081375C">
        <w:rPr>
          <w:rFonts w:ascii="Arial" w:eastAsia="Aptos" w:hAnsi="Arial" w:cs="Arial"/>
          <w:color w:val="000000" w:themeColor="text1"/>
        </w:rPr>
        <w:t xml:space="preserve"> se presentan los </w:t>
      </w:r>
      <w:r w:rsidR="00557E17" w:rsidRPr="0081375C">
        <w:rPr>
          <w:rFonts w:ascii="Arial" w:eastAsia="Aptos" w:hAnsi="Arial" w:cs="Arial"/>
          <w:color w:val="000000" w:themeColor="text1"/>
        </w:rPr>
        <w:t>cinco criterios de priorización</w:t>
      </w:r>
      <w:r w:rsidR="00282D24" w:rsidRPr="0081375C">
        <w:rPr>
          <w:rFonts w:ascii="Arial" w:eastAsia="Aptos" w:hAnsi="Arial" w:cs="Arial"/>
          <w:color w:val="000000" w:themeColor="text1"/>
        </w:rPr>
        <w:t>, los cuales</w:t>
      </w:r>
      <w:r w:rsidR="00557E17" w:rsidRPr="0081375C">
        <w:rPr>
          <w:rFonts w:ascii="Arial" w:eastAsia="Aptos" w:hAnsi="Arial" w:cs="Arial"/>
          <w:color w:val="000000" w:themeColor="text1"/>
        </w:rPr>
        <w:t xml:space="preserve"> tienen pesos determinados </w:t>
      </w:r>
      <w:r w:rsidR="00282D24" w:rsidRPr="0081375C">
        <w:rPr>
          <w:rFonts w:ascii="Arial" w:eastAsia="Aptos" w:hAnsi="Arial" w:cs="Arial"/>
          <w:color w:val="000000" w:themeColor="text1"/>
        </w:rPr>
        <w:t>por la evaluación de representantes de la</w:t>
      </w:r>
      <w:r w:rsidR="00557E17" w:rsidRPr="0081375C">
        <w:rPr>
          <w:rFonts w:ascii="Arial" w:eastAsia="Aptos" w:hAnsi="Arial" w:cs="Arial"/>
          <w:color w:val="000000" w:themeColor="text1"/>
        </w:rPr>
        <w:t xml:space="preserve"> Secretaría de Medio Ambiente. </w:t>
      </w:r>
      <w:r w:rsidR="00557E17" w:rsidRPr="0081375C">
        <w:rPr>
          <w:rFonts w:ascii="Arial" w:eastAsia="Aptos" w:hAnsi="Arial" w:cs="Arial"/>
          <w:color w:val="000000" w:themeColor="text1"/>
        </w:rPr>
        <w:lastRenderedPageBreak/>
        <w:t>El puntaje crudo de cada criterio tiene escala máxima de 15; el puntaje total ponderado máximo es también 15.</w:t>
      </w:r>
    </w:p>
    <w:p w14:paraId="5971FBCE" w14:textId="77777777" w:rsidR="00680213" w:rsidRPr="0081375C" w:rsidRDefault="00680213" w:rsidP="7670D8C4">
      <w:pPr>
        <w:spacing w:line="23" w:lineRule="atLeast"/>
        <w:jc w:val="both"/>
        <w:rPr>
          <w:rFonts w:ascii="Arial" w:eastAsia="Aptos" w:hAnsi="Arial" w:cs="Arial"/>
          <w:color w:val="000000" w:themeColor="text1"/>
        </w:rPr>
      </w:pPr>
    </w:p>
    <w:p w14:paraId="03C287EC" w14:textId="3EE0C364" w:rsidR="00680213" w:rsidRPr="0081375C" w:rsidRDefault="00680213" w:rsidP="00680213">
      <w:pPr>
        <w:spacing w:line="23" w:lineRule="atLeast"/>
        <w:jc w:val="both"/>
        <w:rPr>
          <w:rFonts w:ascii="Arial" w:hAnsi="Arial" w:cs="Arial"/>
          <w:b/>
          <w:bCs/>
          <w:color w:val="000000" w:themeColor="text1"/>
          <w:sz w:val="20"/>
          <w:szCs w:val="20"/>
        </w:rPr>
      </w:pPr>
      <w:bookmarkStart w:id="27" w:name="_Ref235512786"/>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3</w:t>
      </w:r>
      <w:r w:rsidRPr="0081375C">
        <w:rPr>
          <w:rFonts w:ascii="Arial" w:hAnsi="Arial" w:cs="Arial"/>
          <w:b/>
          <w:bCs/>
          <w:color w:val="000000" w:themeColor="text1"/>
          <w:sz w:val="20"/>
          <w:szCs w:val="20"/>
        </w:rPr>
        <w:fldChar w:fldCharType="end"/>
      </w:r>
      <w:bookmarkEnd w:id="27"/>
      <w:r w:rsidRPr="0081375C">
        <w:rPr>
          <w:rFonts w:ascii="Arial" w:hAnsi="Arial" w:cs="Arial"/>
          <w:b/>
          <w:bCs/>
          <w:color w:val="000000" w:themeColor="text1"/>
          <w:sz w:val="20"/>
          <w:szCs w:val="20"/>
        </w:rPr>
        <w:t xml:space="preserve">. </w:t>
      </w:r>
      <w:r w:rsidR="00417AEA" w:rsidRPr="0081375C">
        <w:rPr>
          <w:rFonts w:ascii="Arial" w:hAnsi="Arial" w:cs="Arial"/>
          <w:b/>
          <w:bCs/>
          <w:color w:val="000000" w:themeColor="text1"/>
          <w:sz w:val="20"/>
          <w:szCs w:val="20"/>
        </w:rPr>
        <w:t xml:space="preserve">Calificación de los criterios </w:t>
      </w:r>
      <w:r w:rsidR="0055477F" w:rsidRPr="0081375C">
        <w:rPr>
          <w:rFonts w:ascii="Arial" w:hAnsi="Arial" w:cs="Arial"/>
          <w:b/>
          <w:bCs/>
          <w:color w:val="000000" w:themeColor="text1"/>
          <w:sz w:val="20"/>
          <w:szCs w:val="20"/>
        </w:rPr>
        <w:t>por parte de los expertos consultados en la SMA</w:t>
      </w:r>
    </w:p>
    <w:tbl>
      <w:tblPr>
        <w:tblW w:w="5000" w:type="pct"/>
        <w:tblCellMar>
          <w:left w:w="0" w:type="dxa"/>
          <w:right w:w="0" w:type="dxa"/>
        </w:tblCellMar>
        <w:tblLook w:val="0600" w:firstRow="0" w:lastRow="0" w:firstColumn="0" w:lastColumn="0" w:noHBand="1" w:noVBand="1"/>
      </w:tblPr>
      <w:tblGrid>
        <w:gridCol w:w="3316"/>
        <w:gridCol w:w="1168"/>
        <w:gridCol w:w="1311"/>
        <w:gridCol w:w="1642"/>
        <w:gridCol w:w="1189"/>
      </w:tblGrid>
      <w:tr w:rsidR="00680213" w:rsidRPr="0081375C" w14:paraId="1EF5A9BE" w14:textId="77777777" w:rsidTr="0055477F">
        <w:trPr>
          <w:trHeight w:val="359"/>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5B26CE8C" w14:textId="77777777" w:rsidR="00680213" w:rsidRPr="0081375C" w:rsidRDefault="00680213" w:rsidP="0055477F">
            <w:pPr>
              <w:spacing w:line="23" w:lineRule="atLeast"/>
              <w:jc w:val="center"/>
              <w:rPr>
                <w:rFonts w:ascii="Arial" w:eastAsia="Aptos" w:hAnsi="Arial" w:cs="Arial"/>
                <w:color w:val="000000" w:themeColor="text1"/>
              </w:rPr>
            </w:pPr>
            <w:proofErr w:type="spellStart"/>
            <w:r w:rsidRPr="0081375C">
              <w:rPr>
                <w:rFonts w:ascii="Arial" w:eastAsia="Aptos" w:hAnsi="Arial" w:cs="Arial"/>
                <w:b/>
                <w:bCs/>
                <w:color w:val="000000" w:themeColor="text1"/>
                <w:lang w:val="en-US"/>
              </w:rPr>
              <w:t>Criterio</w:t>
            </w:r>
            <w:proofErr w:type="spellEnd"/>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ACEC85E" w14:textId="495E6955" w:rsidR="00680213" w:rsidRPr="0081375C" w:rsidRDefault="00680213" w:rsidP="0055477F">
            <w:pPr>
              <w:spacing w:line="23" w:lineRule="atLeast"/>
              <w:jc w:val="center"/>
              <w:rPr>
                <w:rFonts w:ascii="Arial" w:eastAsia="Aptos" w:hAnsi="Arial" w:cs="Arial"/>
                <w:color w:val="000000" w:themeColor="text1"/>
              </w:rPr>
            </w:pPr>
            <w:proofErr w:type="spellStart"/>
            <w:r w:rsidRPr="0081375C">
              <w:rPr>
                <w:rFonts w:ascii="Arial" w:eastAsia="Aptos" w:hAnsi="Arial" w:cs="Arial"/>
                <w:b/>
                <w:bCs/>
                <w:color w:val="000000" w:themeColor="text1"/>
                <w:lang w:val="en-US"/>
              </w:rPr>
              <w:t>Promedio</w:t>
            </w:r>
            <w:proofErr w:type="spellEnd"/>
            <w:r w:rsidRPr="0081375C">
              <w:rPr>
                <w:rFonts w:ascii="Arial" w:eastAsia="Aptos" w:hAnsi="Arial" w:cs="Arial"/>
                <w:b/>
                <w:bCs/>
                <w:color w:val="000000" w:themeColor="text1"/>
                <w:lang w:val="en-US"/>
              </w:rPr>
              <w:t xml:space="preserve"> </w:t>
            </w:r>
            <w:r w:rsidR="0055477F" w:rsidRPr="0081375C">
              <w:rPr>
                <w:rFonts w:ascii="Arial" w:eastAsia="Aptos" w:hAnsi="Arial" w:cs="Arial"/>
                <w:b/>
                <w:bCs/>
                <w:color w:val="000000" w:themeColor="text1"/>
                <w:lang w:val="en-US"/>
              </w:rPr>
              <w:t>Forestal 1</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9E9B37C" w14:textId="6EDCB961" w:rsidR="00680213" w:rsidRPr="0081375C" w:rsidRDefault="00680213" w:rsidP="0055477F">
            <w:pPr>
              <w:spacing w:line="23" w:lineRule="atLeast"/>
              <w:jc w:val="center"/>
              <w:rPr>
                <w:rFonts w:ascii="Arial" w:eastAsia="Aptos" w:hAnsi="Arial" w:cs="Arial"/>
                <w:color w:val="000000" w:themeColor="text1"/>
              </w:rPr>
            </w:pPr>
            <w:proofErr w:type="spellStart"/>
            <w:r w:rsidRPr="0081375C">
              <w:rPr>
                <w:rFonts w:ascii="Arial" w:eastAsia="Aptos" w:hAnsi="Arial" w:cs="Arial"/>
                <w:b/>
                <w:bCs/>
                <w:color w:val="000000" w:themeColor="text1"/>
                <w:lang w:val="en-US"/>
              </w:rPr>
              <w:t>Promedio</w:t>
            </w:r>
            <w:proofErr w:type="spellEnd"/>
            <w:r w:rsidRPr="0081375C">
              <w:rPr>
                <w:rFonts w:ascii="Arial" w:eastAsia="Aptos" w:hAnsi="Arial" w:cs="Arial"/>
                <w:b/>
                <w:bCs/>
                <w:color w:val="000000" w:themeColor="text1"/>
                <w:lang w:val="en-US"/>
              </w:rPr>
              <w:t xml:space="preserve"> </w:t>
            </w:r>
            <w:proofErr w:type="spellStart"/>
            <w:r w:rsidR="0055477F" w:rsidRPr="0081375C">
              <w:rPr>
                <w:rFonts w:ascii="Arial" w:eastAsia="Aptos" w:hAnsi="Arial" w:cs="Arial"/>
                <w:b/>
                <w:bCs/>
                <w:color w:val="000000" w:themeColor="text1"/>
                <w:lang w:val="en-US"/>
              </w:rPr>
              <w:t>Biológa</w:t>
            </w:r>
            <w:proofErr w:type="spellEnd"/>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45978745" w14:textId="0D512678" w:rsidR="00680213" w:rsidRPr="0081375C" w:rsidRDefault="00680213" w:rsidP="0055477F">
            <w:pPr>
              <w:spacing w:line="23" w:lineRule="atLeast"/>
              <w:jc w:val="center"/>
              <w:rPr>
                <w:rFonts w:ascii="Arial" w:eastAsia="Aptos" w:hAnsi="Arial" w:cs="Arial"/>
                <w:color w:val="000000" w:themeColor="text1"/>
              </w:rPr>
            </w:pPr>
            <w:proofErr w:type="spellStart"/>
            <w:r w:rsidRPr="0081375C">
              <w:rPr>
                <w:rFonts w:ascii="Arial" w:eastAsia="Aptos" w:hAnsi="Arial" w:cs="Arial"/>
                <w:b/>
                <w:bCs/>
                <w:color w:val="000000" w:themeColor="text1"/>
                <w:lang w:val="en-US"/>
              </w:rPr>
              <w:t>Promedio</w:t>
            </w:r>
            <w:proofErr w:type="spellEnd"/>
            <w:r w:rsidRPr="0081375C">
              <w:rPr>
                <w:rFonts w:ascii="Arial" w:eastAsia="Aptos" w:hAnsi="Arial" w:cs="Arial"/>
                <w:b/>
                <w:bCs/>
                <w:color w:val="000000" w:themeColor="text1"/>
                <w:lang w:val="en-US"/>
              </w:rPr>
              <w:t xml:space="preserve"> </w:t>
            </w:r>
            <w:r w:rsidR="0055477F" w:rsidRPr="0081375C">
              <w:rPr>
                <w:rFonts w:ascii="Arial" w:eastAsia="Aptos" w:hAnsi="Arial" w:cs="Arial"/>
                <w:b/>
                <w:bCs/>
                <w:color w:val="000000" w:themeColor="text1"/>
                <w:lang w:val="en-US"/>
              </w:rPr>
              <w:t>Forestal 2</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12D3922" w14:textId="77777777" w:rsidR="00680213" w:rsidRPr="0081375C" w:rsidRDefault="00680213" w:rsidP="0055477F">
            <w:pPr>
              <w:spacing w:line="23" w:lineRule="atLeast"/>
              <w:jc w:val="center"/>
              <w:rPr>
                <w:rFonts w:ascii="Arial" w:eastAsia="Aptos" w:hAnsi="Arial" w:cs="Arial"/>
                <w:color w:val="000000" w:themeColor="text1"/>
              </w:rPr>
            </w:pPr>
            <w:proofErr w:type="spellStart"/>
            <w:r w:rsidRPr="0081375C">
              <w:rPr>
                <w:rFonts w:ascii="Arial" w:eastAsia="Aptos" w:hAnsi="Arial" w:cs="Arial"/>
                <w:b/>
                <w:bCs/>
                <w:color w:val="000000" w:themeColor="text1"/>
                <w:lang w:val="en-US"/>
              </w:rPr>
              <w:t>Promedio</w:t>
            </w:r>
            <w:proofErr w:type="spellEnd"/>
            <w:r w:rsidRPr="0081375C">
              <w:rPr>
                <w:rFonts w:ascii="Arial" w:eastAsia="Aptos" w:hAnsi="Arial" w:cs="Arial"/>
                <w:b/>
                <w:bCs/>
                <w:color w:val="000000" w:themeColor="text1"/>
                <w:lang w:val="en-US"/>
              </w:rPr>
              <w:t xml:space="preserve"> total</w:t>
            </w:r>
          </w:p>
        </w:tc>
      </w:tr>
      <w:tr w:rsidR="00680213" w:rsidRPr="0081375C" w14:paraId="0ADEB149" w14:textId="77777777" w:rsidTr="0055477F">
        <w:trPr>
          <w:trHeight w:val="111"/>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517D9013" w14:textId="77777777" w:rsidR="00680213" w:rsidRPr="0081375C" w:rsidRDefault="00680213" w:rsidP="00680213">
            <w:pPr>
              <w:spacing w:line="23" w:lineRule="atLeast"/>
              <w:jc w:val="both"/>
              <w:rPr>
                <w:rFonts w:ascii="Arial" w:eastAsia="Aptos" w:hAnsi="Arial" w:cs="Arial"/>
                <w:color w:val="000000" w:themeColor="text1"/>
              </w:rPr>
            </w:pPr>
            <w:proofErr w:type="spellStart"/>
            <w:r w:rsidRPr="0081375C">
              <w:rPr>
                <w:rFonts w:ascii="Arial" w:eastAsia="Aptos" w:hAnsi="Arial" w:cs="Arial"/>
                <w:color w:val="000000" w:themeColor="text1"/>
                <w:lang w:val="en-US"/>
              </w:rPr>
              <w:t>Conectividad</w:t>
            </w:r>
            <w:proofErr w:type="spellEnd"/>
            <w:r w:rsidRPr="0081375C">
              <w:rPr>
                <w:rFonts w:ascii="Arial" w:eastAsia="Aptos" w:hAnsi="Arial" w:cs="Arial"/>
                <w:color w:val="000000" w:themeColor="text1"/>
                <w:lang w:val="en-US"/>
              </w:rPr>
              <w:t xml:space="preserve"> </w:t>
            </w:r>
            <w:proofErr w:type="spellStart"/>
            <w:r w:rsidRPr="0081375C">
              <w:rPr>
                <w:rFonts w:ascii="Arial" w:eastAsia="Aptos" w:hAnsi="Arial" w:cs="Arial"/>
                <w:color w:val="000000" w:themeColor="text1"/>
                <w:lang w:val="en-US"/>
              </w:rPr>
              <w:t>ecológica</w:t>
            </w:r>
            <w:proofErr w:type="spellEnd"/>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590D0FA1"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20,79%</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51D6E73"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29,26%</w:t>
            </w:r>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35231F40"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22,63%</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1F729C30"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b/>
                <w:bCs/>
                <w:color w:val="000000" w:themeColor="text1"/>
                <w:lang w:val="en-US"/>
              </w:rPr>
              <w:t>24,23%</w:t>
            </w:r>
          </w:p>
        </w:tc>
      </w:tr>
      <w:tr w:rsidR="00680213" w:rsidRPr="0081375C" w14:paraId="05E391D4" w14:textId="77777777" w:rsidTr="0055477F">
        <w:trPr>
          <w:trHeight w:val="257"/>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1C43FAD0" w14:textId="77777777" w:rsidR="00680213" w:rsidRPr="0081375C" w:rsidRDefault="00680213" w:rsidP="00680213">
            <w:pPr>
              <w:spacing w:line="23" w:lineRule="atLeast"/>
              <w:jc w:val="both"/>
              <w:rPr>
                <w:rFonts w:ascii="Arial" w:eastAsia="Aptos" w:hAnsi="Arial" w:cs="Arial"/>
                <w:color w:val="000000" w:themeColor="text1"/>
              </w:rPr>
            </w:pPr>
            <w:r w:rsidRPr="0081375C">
              <w:rPr>
                <w:rFonts w:ascii="Arial" w:eastAsia="Aptos" w:hAnsi="Arial" w:cs="Arial"/>
                <w:color w:val="000000" w:themeColor="text1"/>
                <w:lang w:val="en-US"/>
              </w:rPr>
              <w:t xml:space="preserve">Calidad de </w:t>
            </w:r>
            <w:proofErr w:type="spellStart"/>
            <w:r w:rsidRPr="0081375C">
              <w:rPr>
                <w:rFonts w:ascii="Arial" w:eastAsia="Aptos" w:hAnsi="Arial" w:cs="Arial"/>
                <w:color w:val="000000" w:themeColor="text1"/>
                <w:lang w:val="en-US"/>
              </w:rPr>
              <w:t>vegetación</w:t>
            </w:r>
            <w:proofErr w:type="spellEnd"/>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6F9C75D"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11,33%</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76237C3"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9,51%</w:t>
            </w:r>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3E023325"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14,37%</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570DD38"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b/>
                <w:bCs/>
                <w:color w:val="000000" w:themeColor="text1"/>
                <w:lang w:val="en-US"/>
              </w:rPr>
              <w:t>11,74%</w:t>
            </w:r>
          </w:p>
        </w:tc>
      </w:tr>
      <w:tr w:rsidR="00680213" w:rsidRPr="0081375C" w14:paraId="5A3544AC" w14:textId="77777777" w:rsidTr="0055477F">
        <w:trPr>
          <w:trHeight w:val="247"/>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065E1576" w14:textId="77777777" w:rsidR="00680213" w:rsidRPr="0081375C" w:rsidRDefault="00680213" w:rsidP="00680213">
            <w:pPr>
              <w:spacing w:line="23" w:lineRule="atLeast"/>
              <w:jc w:val="both"/>
              <w:rPr>
                <w:rFonts w:ascii="Arial" w:eastAsia="Aptos" w:hAnsi="Arial" w:cs="Arial"/>
                <w:color w:val="000000" w:themeColor="text1"/>
              </w:rPr>
            </w:pPr>
            <w:proofErr w:type="spellStart"/>
            <w:r w:rsidRPr="0081375C">
              <w:rPr>
                <w:rFonts w:ascii="Arial" w:eastAsia="Aptos" w:hAnsi="Arial" w:cs="Arial"/>
                <w:color w:val="000000" w:themeColor="text1"/>
                <w:lang w:val="en-US"/>
              </w:rPr>
              <w:t>Dinámica</w:t>
            </w:r>
            <w:proofErr w:type="spellEnd"/>
            <w:r w:rsidRPr="0081375C">
              <w:rPr>
                <w:rFonts w:ascii="Arial" w:eastAsia="Aptos" w:hAnsi="Arial" w:cs="Arial"/>
                <w:color w:val="000000" w:themeColor="text1"/>
                <w:lang w:val="en-US"/>
              </w:rPr>
              <w:t xml:space="preserve"> de la </w:t>
            </w:r>
            <w:proofErr w:type="spellStart"/>
            <w:r w:rsidRPr="0081375C">
              <w:rPr>
                <w:rFonts w:ascii="Arial" w:eastAsia="Aptos" w:hAnsi="Arial" w:cs="Arial"/>
                <w:color w:val="000000" w:themeColor="text1"/>
                <w:lang w:val="en-US"/>
              </w:rPr>
              <w:t>vegetación</w:t>
            </w:r>
            <w:proofErr w:type="spellEnd"/>
            <w:r w:rsidRPr="0081375C">
              <w:rPr>
                <w:rFonts w:ascii="Arial" w:eastAsia="Aptos" w:hAnsi="Arial" w:cs="Arial"/>
                <w:color w:val="000000" w:themeColor="text1"/>
                <w:lang w:val="en-US"/>
              </w:rPr>
              <w:t xml:space="preserve"> </w:t>
            </w:r>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26A001F"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8,66%</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17937E34"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4,67%</w:t>
            </w:r>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105D5BAC"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9,20%</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8929399"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b/>
                <w:bCs/>
                <w:color w:val="000000" w:themeColor="text1"/>
                <w:lang w:val="en-US"/>
              </w:rPr>
              <w:t>7,51%</w:t>
            </w:r>
          </w:p>
        </w:tc>
      </w:tr>
      <w:tr w:rsidR="00680213" w:rsidRPr="0081375C" w14:paraId="29EB3EBE" w14:textId="77777777" w:rsidTr="0055477F">
        <w:trPr>
          <w:trHeight w:val="251"/>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4898707F" w14:textId="77777777" w:rsidR="00680213" w:rsidRPr="0081375C" w:rsidRDefault="00680213" w:rsidP="00680213">
            <w:pPr>
              <w:spacing w:line="23" w:lineRule="atLeast"/>
              <w:jc w:val="both"/>
              <w:rPr>
                <w:rFonts w:ascii="Arial" w:eastAsia="Aptos" w:hAnsi="Arial" w:cs="Arial"/>
                <w:color w:val="000000" w:themeColor="text1"/>
              </w:rPr>
            </w:pPr>
            <w:proofErr w:type="spellStart"/>
            <w:r w:rsidRPr="0081375C">
              <w:rPr>
                <w:rFonts w:ascii="Arial" w:eastAsia="Aptos" w:hAnsi="Arial" w:cs="Arial"/>
                <w:color w:val="000000" w:themeColor="text1"/>
                <w:lang w:val="en-US"/>
              </w:rPr>
              <w:t>Biodiversidad</w:t>
            </w:r>
            <w:proofErr w:type="spellEnd"/>
            <w:r w:rsidRPr="0081375C">
              <w:rPr>
                <w:rFonts w:ascii="Arial" w:eastAsia="Aptos" w:hAnsi="Arial" w:cs="Arial"/>
                <w:color w:val="000000" w:themeColor="text1"/>
                <w:lang w:val="en-US"/>
              </w:rPr>
              <w:t xml:space="preserve"> </w:t>
            </w:r>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1B209533"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53,70%</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4C088FEE"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45,15%</w:t>
            </w:r>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F868575"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47,79%</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66BADE33"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b/>
                <w:bCs/>
                <w:color w:val="000000" w:themeColor="text1"/>
                <w:lang w:val="en-US"/>
              </w:rPr>
              <w:t>48,88%</w:t>
            </w:r>
          </w:p>
        </w:tc>
      </w:tr>
      <w:tr w:rsidR="00680213" w:rsidRPr="0081375C" w14:paraId="5AB42BCB" w14:textId="77777777" w:rsidTr="00680213">
        <w:trPr>
          <w:trHeight w:val="417"/>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40D2CE4C" w14:textId="60A6CC4E" w:rsidR="00680213" w:rsidRPr="0081375C" w:rsidRDefault="00680213" w:rsidP="00680213">
            <w:pPr>
              <w:spacing w:line="23" w:lineRule="atLeast"/>
              <w:jc w:val="both"/>
              <w:rPr>
                <w:rFonts w:ascii="Arial" w:eastAsia="Aptos" w:hAnsi="Arial" w:cs="Arial"/>
                <w:color w:val="000000" w:themeColor="text1"/>
              </w:rPr>
            </w:pPr>
            <w:r w:rsidRPr="0081375C">
              <w:rPr>
                <w:rFonts w:ascii="Arial" w:eastAsia="Aptos" w:hAnsi="Arial" w:cs="Arial"/>
                <w:color w:val="000000" w:themeColor="text1"/>
                <w:lang w:val="es-MX"/>
              </w:rPr>
              <w:t>Grado de amenaza por presión antrópica</w:t>
            </w:r>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2411A30"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5,52%</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4696A8CF"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11,41%</w:t>
            </w:r>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1CD6F354"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6,00%</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D41A717" w14:textId="7777777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b/>
                <w:bCs/>
                <w:color w:val="000000" w:themeColor="text1"/>
                <w:lang w:val="en-US"/>
              </w:rPr>
              <w:t>7,64%</w:t>
            </w:r>
          </w:p>
        </w:tc>
      </w:tr>
      <w:tr w:rsidR="00680213" w:rsidRPr="0081375C" w14:paraId="5085FB8A" w14:textId="77777777" w:rsidTr="0055477F">
        <w:trPr>
          <w:trHeight w:val="277"/>
        </w:trPr>
        <w:tc>
          <w:tcPr>
            <w:tcW w:w="192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center"/>
            <w:hideMark/>
          </w:tcPr>
          <w:p w14:paraId="4D00F020" w14:textId="77777777" w:rsidR="00680213" w:rsidRPr="0081375C" w:rsidRDefault="00680213" w:rsidP="00680213">
            <w:pPr>
              <w:spacing w:line="23" w:lineRule="atLeast"/>
              <w:jc w:val="both"/>
              <w:rPr>
                <w:rFonts w:ascii="Arial" w:eastAsia="Aptos" w:hAnsi="Arial" w:cs="Arial"/>
                <w:color w:val="000000" w:themeColor="text1"/>
              </w:rPr>
            </w:pPr>
            <w:r w:rsidRPr="0081375C">
              <w:rPr>
                <w:rFonts w:ascii="Arial" w:eastAsia="Aptos" w:hAnsi="Arial" w:cs="Arial"/>
                <w:color w:val="000000" w:themeColor="text1"/>
                <w:lang w:val="en-US"/>
              </w:rPr>
              <w:t>Total</w:t>
            </w:r>
          </w:p>
        </w:tc>
        <w:tc>
          <w:tcPr>
            <w:tcW w:w="677"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3808CC40" w14:textId="3EDFC5E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100%</w:t>
            </w:r>
          </w:p>
        </w:tc>
        <w:tc>
          <w:tcPr>
            <w:tcW w:w="760"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449077CF" w14:textId="767BA0BA"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100%</w:t>
            </w:r>
          </w:p>
        </w:tc>
        <w:tc>
          <w:tcPr>
            <w:tcW w:w="952"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755121C1" w14:textId="37DDCB3A"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color w:val="000000" w:themeColor="text1"/>
                <w:lang w:val="en-US"/>
              </w:rPr>
              <w:t>100%</w:t>
            </w:r>
          </w:p>
        </w:tc>
        <w:tc>
          <w:tcPr>
            <w:tcW w:w="689" w:type="pct"/>
            <w:tcBorders>
              <w:top w:val="single" w:sz="8" w:space="0" w:color="156082"/>
              <w:left w:val="single" w:sz="8" w:space="0" w:color="156082"/>
              <w:bottom w:val="single" w:sz="8" w:space="0" w:color="156082"/>
              <w:right w:val="single" w:sz="8" w:space="0" w:color="156082"/>
            </w:tcBorders>
            <w:tcMar>
              <w:top w:w="9" w:type="dxa"/>
              <w:left w:w="9" w:type="dxa"/>
              <w:bottom w:w="0" w:type="dxa"/>
              <w:right w:w="9" w:type="dxa"/>
            </w:tcMar>
            <w:vAlign w:val="bottom"/>
            <w:hideMark/>
          </w:tcPr>
          <w:p w14:paraId="4488D5FC" w14:textId="35E348D7" w:rsidR="00680213" w:rsidRPr="0081375C" w:rsidRDefault="00680213" w:rsidP="0055477F">
            <w:pPr>
              <w:spacing w:line="23" w:lineRule="atLeast"/>
              <w:jc w:val="center"/>
              <w:rPr>
                <w:rFonts w:ascii="Arial" w:eastAsia="Aptos" w:hAnsi="Arial" w:cs="Arial"/>
                <w:color w:val="000000" w:themeColor="text1"/>
              </w:rPr>
            </w:pPr>
            <w:r w:rsidRPr="0081375C">
              <w:rPr>
                <w:rFonts w:ascii="Arial" w:eastAsia="Aptos" w:hAnsi="Arial" w:cs="Arial"/>
                <w:b/>
                <w:bCs/>
                <w:color w:val="000000" w:themeColor="text1"/>
                <w:lang w:val="en-US"/>
              </w:rPr>
              <w:t>100%</w:t>
            </w:r>
          </w:p>
        </w:tc>
      </w:tr>
    </w:tbl>
    <w:p w14:paraId="066A4DD2" w14:textId="77777777" w:rsidR="00680213" w:rsidRPr="0081375C" w:rsidRDefault="00680213" w:rsidP="7670D8C4">
      <w:pPr>
        <w:spacing w:line="23" w:lineRule="atLeast"/>
        <w:jc w:val="both"/>
        <w:rPr>
          <w:rFonts w:ascii="Arial" w:eastAsia="Aptos" w:hAnsi="Arial" w:cs="Arial"/>
          <w:color w:val="000000" w:themeColor="text1"/>
        </w:rPr>
      </w:pPr>
    </w:p>
    <w:p w14:paraId="7638AE40" w14:textId="77777777" w:rsidR="00BB7729" w:rsidRPr="0081375C" w:rsidRDefault="00BB7729" w:rsidP="7670D8C4">
      <w:pPr>
        <w:spacing w:line="23" w:lineRule="atLeast"/>
        <w:jc w:val="both"/>
        <w:rPr>
          <w:rFonts w:ascii="Arial" w:eastAsia="Aptos" w:hAnsi="Arial" w:cs="Arial"/>
          <w:color w:val="000000" w:themeColor="text1"/>
        </w:rPr>
      </w:pPr>
    </w:p>
    <w:p w14:paraId="68415540" w14:textId="361F9F8D"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La estructura de ponderación reconoce que la biodiversidad (con peso del 48,88%) es el eje central del esquema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complementada por conectividad territorial (24,23%) que garantiza continuidad ecosistémica. Los criterios de calidad (11,74%) y dinámica de vegetación (7,51%) articulan el estado presente con la trayectoria temporal, mientras que presión demográfica (7,65%) identifica dónde la amenaza es más crítica para los servicios de biodiversidad.</w:t>
      </w:r>
    </w:p>
    <w:p w14:paraId="3E821529" w14:textId="77777777" w:rsidR="7670D8C4" w:rsidRPr="0081375C" w:rsidRDefault="7670D8C4" w:rsidP="7670D8C4">
      <w:pPr>
        <w:spacing w:line="23" w:lineRule="atLeast"/>
        <w:jc w:val="both"/>
        <w:rPr>
          <w:rFonts w:ascii="Arial" w:eastAsia="Aptos" w:hAnsi="Arial" w:cs="Arial"/>
          <w:color w:val="000000" w:themeColor="text1"/>
        </w:rPr>
      </w:pPr>
    </w:p>
    <w:p w14:paraId="05E29F59" w14:textId="460DAE16" w:rsidR="5019CF5E" w:rsidRPr="0081375C" w:rsidRDefault="5019CF5E" w:rsidP="7670D8C4">
      <w:pPr>
        <w:spacing w:line="23" w:lineRule="atLeast"/>
        <w:jc w:val="both"/>
        <w:rPr>
          <w:rFonts w:ascii="Arial" w:hAnsi="Arial" w:cs="Arial"/>
          <w:b/>
          <w:bCs/>
          <w:color w:val="000000" w:themeColor="text1"/>
          <w:sz w:val="20"/>
          <w:szCs w:val="20"/>
        </w:rPr>
      </w:pPr>
      <w:bookmarkStart w:id="28" w:name="_Toc233040652"/>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4</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Criterios y puntaje</w:t>
      </w:r>
      <w:r w:rsidR="78338684" w:rsidRPr="0081375C">
        <w:rPr>
          <w:rFonts w:ascii="Arial" w:hAnsi="Arial" w:cs="Arial"/>
          <w:b/>
          <w:bCs/>
          <w:color w:val="000000" w:themeColor="text1"/>
          <w:sz w:val="20"/>
          <w:szCs w:val="20"/>
        </w:rPr>
        <w:t xml:space="preserve"> priorización </w:t>
      </w:r>
      <w:proofErr w:type="spellStart"/>
      <w:r w:rsidR="78338684" w:rsidRPr="0081375C">
        <w:rPr>
          <w:rFonts w:ascii="Arial" w:hAnsi="Arial" w:cs="Arial"/>
          <w:b/>
          <w:bCs/>
          <w:color w:val="000000" w:themeColor="text1"/>
          <w:sz w:val="20"/>
          <w:szCs w:val="20"/>
        </w:rPr>
        <w:t>PSABio</w:t>
      </w:r>
      <w:bookmarkEnd w:id="28"/>
      <w:proofErr w:type="spellEnd"/>
    </w:p>
    <w:tbl>
      <w:tblPr>
        <w:tblStyle w:val="Tablaconcuadrcula"/>
        <w:tblW w:w="0" w:type="auto"/>
        <w:tblLook w:val="06A0" w:firstRow="1" w:lastRow="0" w:firstColumn="1" w:lastColumn="0" w:noHBand="1" w:noVBand="1"/>
      </w:tblPr>
      <w:tblGrid>
        <w:gridCol w:w="4318"/>
        <w:gridCol w:w="4318"/>
      </w:tblGrid>
      <w:tr w:rsidR="7670D8C4" w:rsidRPr="0081375C" w14:paraId="5983ADED" w14:textId="77777777" w:rsidTr="00C35122">
        <w:trPr>
          <w:trHeight w:val="20"/>
        </w:trPr>
        <w:tc>
          <w:tcPr>
            <w:tcW w:w="4318" w:type="dxa"/>
            <w:vAlign w:val="center"/>
          </w:tcPr>
          <w:p w14:paraId="552F4B7E" w14:textId="77777777" w:rsidR="7670D8C4" w:rsidRPr="0081375C" w:rsidRDefault="7670D8C4" w:rsidP="00C35122">
            <w:pPr>
              <w:spacing w:line="23" w:lineRule="atLeast"/>
              <w:jc w:val="center"/>
              <w:rPr>
                <w:rFonts w:ascii="Arial" w:eastAsia="Aptos" w:hAnsi="Arial" w:cs="Arial"/>
                <w:b/>
                <w:bCs/>
                <w:color w:val="000000" w:themeColor="text1"/>
              </w:rPr>
            </w:pPr>
            <w:r w:rsidRPr="0081375C">
              <w:rPr>
                <w:rFonts w:ascii="Arial" w:eastAsia="Aptos" w:hAnsi="Arial" w:cs="Arial"/>
                <w:b/>
                <w:bCs/>
                <w:color w:val="000000" w:themeColor="text1"/>
              </w:rPr>
              <w:t>Criterio</w:t>
            </w:r>
          </w:p>
        </w:tc>
        <w:tc>
          <w:tcPr>
            <w:tcW w:w="4318" w:type="dxa"/>
            <w:vAlign w:val="center"/>
          </w:tcPr>
          <w:p w14:paraId="5EDDBC22" w14:textId="77777777" w:rsidR="7670D8C4" w:rsidRPr="0081375C" w:rsidRDefault="7670D8C4" w:rsidP="00C35122">
            <w:pPr>
              <w:spacing w:line="23" w:lineRule="atLeast"/>
              <w:jc w:val="center"/>
              <w:rPr>
                <w:rFonts w:ascii="Arial" w:eastAsia="Aptos" w:hAnsi="Arial" w:cs="Arial"/>
                <w:b/>
                <w:bCs/>
                <w:color w:val="000000" w:themeColor="text1"/>
              </w:rPr>
            </w:pPr>
            <w:r w:rsidRPr="0081375C">
              <w:rPr>
                <w:rFonts w:ascii="Arial" w:eastAsia="Aptos" w:hAnsi="Arial" w:cs="Arial"/>
                <w:b/>
                <w:bCs/>
                <w:color w:val="000000" w:themeColor="text1"/>
              </w:rPr>
              <w:t>Puntaje (%)</w:t>
            </w:r>
          </w:p>
        </w:tc>
      </w:tr>
      <w:tr w:rsidR="7670D8C4" w:rsidRPr="0081375C" w14:paraId="6CF8CE08" w14:textId="77777777" w:rsidTr="00C35122">
        <w:trPr>
          <w:trHeight w:val="20"/>
        </w:trPr>
        <w:tc>
          <w:tcPr>
            <w:tcW w:w="4318" w:type="dxa"/>
            <w:vAlign w:val="center"/>
          </w:tcPr>
          <w:p w14:paraId="365C10BA" w14:textId="77777777" w:rsidR="7670D8C4" w:rsidRPr="0081375C" w:rsidRDefault="7670D8C4" w:rsidP="00C35122">
            <w:pPr>
              <w:spacing w:line="23" w:lineRule="atLeast"/>
              <w:jc w:val="center"/>
              <w:rPr>
                <w:rFonts w:ascii="Arial" w:eastAsia="Aptos" w:hAnsi="Arial" w:cs="Arial"/>
                <w:color w:val="000000" w:themeColor="text1"/>
              </w:rPr>
            </w:pPr>
            <w:r w:rsidRPr="0081375C">
              <w:rPr>
                <w:rFonts w:ascii="Arial" w:eastAsia="Aptos" w:hAnsi="Arial" w:cs="Arial"/>
                <w:color w:val="000000" w:themeColor="text1"/>
              </w:rPr>
              <w:t>C1: Conectividad ecológica</w:t>
            </w:r>
          </w:p>
        </w:tc>
        <w:tc>
          <w:tcPr>
            <w:tcW w:w="4318" w:type="dxa"/>
            <w:vAlign w:val="center"/>
          </w:tcPr>
          <w:p w14:paraId="7B9660AD" w14:textId="77777777" w:rsidR="7670D8C4" w:rsidRPr="0081375C" w:rsidRDefault="7670D8C4" w:rsidP="00C35122">
            <w:pPr>
              <w:spacing w:line="23" w:lineRule="atLeast"/>
              <w:jc w:val="center"/>
              <w:rPr>
                <w:rFonts w:ascii="Arial" w:hAnsi="Arial"/>
                <w:color w:val="000000" w:themeColor="text1"/>
              </w:rPr>
            </w:pPr>
            <w:r w:rsidRPr="0081375C">
              <w:rPr>
                <w:rFonts w:ascii="Arial" w:hAnsi="Arial"/>
                <w:color w:val="000000" w:themeColor="text1"/>
              </w:rPr>
              <w:t>24,23</w:t>
            </w:r>
          </w:p>
        </w:tc>
      </w:tr>
      <w:tr w:rsidR="7670D8C4" w:rsidRPr="0081375C" w14:paraId="05E7A263" w14:textId="77777777" w:rsidTr="00C35122">
        <w:trPr>
          <w:trHeight w:val="20"/>
        </w:trPr>
        <w:tc>
          <w:tcPr>
            <w:tcW w:w="4318" w:type="dxa"/>
            <w:vAlign w:val="center"/>
          </w:tcPr>
          <w:p w14:paraId="45BB9D7A" w14:textId="77777777" w:rsidR="7670D8C4" w:rsidRPr="0081375C" w:rsidRDefault="7670D8C4" w:rsidP="00C35122">
            <w:pPr>
              <w:spacing w:line="23" w:lineRule="atLeast"/>
              <w:jc w:val="center"/>
              <w:rPr>
                <w:rFonts w:ascii="Arial" w:eastAsia="Aptos" w:hAnsi="Arial" w:cs="Arial"/>
                <w:color w:val="000000" w:themeColor="text1"/>
              </w:rPr>
            </w:pPr>
            <w:r w:rsidRPr="0081375C">
              <w:rPr>
                <w:rFonts w:ascii="Arial" w:eastAsia="Aptos" w:hAnsi="Arial" w:cs="Arial"/>
                <w:color w:val="000000" w:themeColor="text1"/>
              </w:rPr>
              <w:t>C2: Calidad de la vegetación</w:t>
            </w:r>
          </w:p>
        </w:tc>
        <w:tc>
          <w:tcPr>
            <w:tcW w:w="4318" w:type="dxa"/>
            <w:vAlign w:val="center"/>
          </w:tcPr>
          <w:p w14:paraId="765E3A82" w14:textId="77777777" w:rsidR="7670D8C4" w:rsidRPr="0081375C" w:rsidRDefault="7670D8C4" w:rsidP="00C35122">
            <w:pPr>
              <w:spacing w:line="23" w:lineRule="atLeast"/>
              <w:jc w:val="center"/>
              <w:rPr>
                <w:rFonts w:ascii="Arial" w:hAnsi="Arial"/>
                <w:color w:val="000000" w:themeColor="text1"/>
              </w:rPr>
            </w:pPr>
            <w:r w:rsidRPr="0081375C">
              <w:rPr>
                <w:rFonts w:ascii="Arial" w:hAnsi="Arial"/>
                <w:color w:val="000000" w:themeColor="text1"/>
              </w:rPr>
              <w:t>11,74</w:t>
            </w:r>
          </w:p>
        </w:tc>
      </w:tr>
      <w:tr w:rsidR="7670D8C4" w:rsidRPr="0081375C" w14:paraId="44D3037C" w14:textId="77777777" w:rsidTr="00C35122">
        <w:trPr>
          <w:trHeight w:val="20"/>
        </w:trPr>
        <w:tc>
          <w:tcPr>
            <w:tcW w:w="4318" w:type="dxa"/>
            <w:vAlign w:val="center"/>
          </w:tcPr>
          <w:p w14:paraId="7191572D" w14:textId="77777777" w:rsidR="7670D8C4" w:rsidRPr="0081375C" w:rsidRDefault="7670D8C4" w:rsidP="00C35122">
            <w:pPr>
              <w:spacing w:line="23" w:lineRule="atLeast"/>
              <w:jc w:val="center"/>
              <w:rPr>
                <w:rFonts w:ascii="Arial" w:eastAsia="Aptos" w:hAnsi="Arial" w:cs="Arial"/>
                <w:color w:val="000000" w:themeColor="text1"/>
              </w:rPr>
            </w:pPr>
            <w:r w:rsidRPr="0081375C">
              <w:rPr>
                <w:rFonts w:ascii="Arial" w:eastAsia="Aptos" w:hAnsi="Arial" w:cs="Arial"/>
                <w:color w:val="000000" w:themeColor="text1"/>
              </w:rPr>
              <w:t>C3: Dinámica de la vegetación</w:t>
            </w:r>
          </w:p>
        </w:tc>
        <w:tc>
          <w:tcPr>
            <w:tcW w:w="4318" w:type="dxa"/>
            <w:vAlign w:val="center"/>
          </w:tcPr>
          <w:p w14:paraId="05DDBC74" w14:textId="77777777" w:rsidR="7670D8C4" w:rsidRPr="0081375C" w:rsidRDefault="7670D8C4" w:rsidP="00C35122">
            <w:pPr>
              <w:spacing w:line="23" w:lineRule="atLeast"/>
              <w:jc w:val="center"/>
              <w:rPr>
                <w:rFonts w:ascii="Arial" w:hAnsi="Arial"/>
                <w:color w:val="000000" w:themeColor="text1"/>
              </w:rPr>
            </w:pPr>
            <w:r w:rsidRPr="0081375C">
              <w:rPr>
                <w:rFonts w:ascii="Arial" w:hAnsi="Arial"/>
                <w:color w:val="000000" w:themeColor="text1"/>
              </w:rPr>
              <w:t>7,51</w:t>
            </w:r>
          </w:p>
        </w:tc>
      </w:tr>
      <w:tr w:rsidR="7670D8C4" w:rsidRPr="0081375C" w14:paraId="7E5A9B8A" w14:textId="77777777" w:rsidTr="00C35122">
        <w:trPr>
          <w:trHeight w:val="20"/>
        </w:trPr>
        <w:tc>
          <w:tcPr>
            <w:tcW w:w="4318" w:type="dxa"/>
            <w:vAlign w:val="center"/>
          </w:tcPr>
          <w:p w14:paraId="7975E3D5" w14:textId="77777777" w:rsidR="7670D8C4" w:rsidRPr="0081375C" w:rsidRDefault="7670D8C4" w:rsidP="00C35122">
            <w:pPr>
              <w:spacing w:line="23" w:lineRule="atLeast"/>
              <w:jc w:val="center"/>
              <w:rPr>
                <w:rFonts w:ascii="Arial" w:eastAsia="Aptos" w:hAnsi="Arial" w:cs="Arial"/>
                <w:color w:val="000000" w:themeColor="text1"/>
              </w:rPr>
            </w:pPr>
            <w:r w:rsidRPr="0081375C">
              <w:rPr>
                <w:rFonts w:ascii="Arial" w:eastAsia="Aptos" w:hAnsi="Arial" w:cs="Arial"/>
                <w:color w:val="000000" w:themeColor="text1"/>
              </w:rPr>
              <w:t>C4: Biodiversidad</w:t>
            </w:r>
          </w:p>
        </w:tc>
        <w:tc>
          <w:tcPr>
            <w:tcW w:w="4318" w:type="dxa"/>
            <w:vAlign w:val="center"/>
          </w:tcPr>
          <w:p w14:paraId="2BCB4AA3" w14:textId="77777777" w:rsidR="7670D8C4" w:rsidRPr="0081375C" w:rsidRDefault="7670D8C4" w:rsidP="00C35122">
            <w:pPr>
              <w:spacing w:line="23" w:lineRule="atLeast"/>
              <w:jc w:val="center"/>
              <w:rPr>
                <w:rFonts w:ascii="Arial" w:hAnsi="Arial"/>
                <w:color w:val="000000" w:themeColor="text1"/>
              </w:rPr>
            </w:pPr>
            <w:r w:rsidRPr="0081375C">
              <w:rPr>
                <w:rFonts w:ascii="Arial" w:hAnsi="Arial"/>
                <w:color w:val="000000" w:themeColor="text1"/>
              </w:rPr>
              <w:t>48,88</w:t>
            </w:r>
          </w:p>
        </w:tc>
      </w:tr>
      <w:tr w:rsidR="7670D8C4" w:rsidRPr="0081375C" w14:paraId="07A37A92" w14:textId="77777777" w:rsidTr="00C35122">
        <w:trPr>
          <w:trHeight w:val="20"/>
        </w:trPr>
        <w:tc>
          <w:tcPr>
            <w:tcW w:w="4318" w:type="dxa"/>
            <w:vAlign w:val="center"/>
          </w:tcPr>
          <w:p w14:paraId="2BAED86D" w14:textId="77777777" w:rsidR="7670D8C4" w:rsidRPr="0081375C" w:rsidRDefault="7670D8C4" w:rsidP="00C35122">
            <w:pPr>
              <w:spacing w:line="23" w:lineRule="atLeast"/>
              <w:jc w:val="center"/>
              <w:rPr>
                <w:rFonts w:ascii="Arial" w:eastAsia="Aptos" w:hAnsi="Arial" w:cs="Arial"/>
                <w:color w:val="000000" w:themeColor="text1"/>
              </w:rPr>
            </w:pPr>
            <w:r w:rsidRPr="0081375C">
              <w:rPr>
                <w:rFonts w:ascii="Arial" w:eastAsia="Aptos" w:hAnsi="Arial" w:cs="Arial"/>
                <w:color w:val="000000" w:themeColor="text1"/>
              </w:rPr>
              <w:t>C5: Presión antrópica</w:t>
            </w:r>
          </w:p>
        </w:tc>
        <w:tc>
          <w:tcPr>
            <w:tcW w:w="4318" w:type="dxa"/>
            <w:vAlign w:val="center"/>
          </w:tcPr>
          <w:p w14:paraId="12EB9184" w14:textId="77777777" w:rsidR="7670D8C4" w:rsidRPr="0081375C" w:rsidRDefault="7670D8C4" w:rsidP="00C35122">
            <w:pPr>
              <w:spacing w:line="23" w:lineRule="atLeast"/>
              <w:jc w:val="center"/>
              <w:rPr>
                <w:rFonts w:ascii="Arial" w:hAnsi="Arial"/>
                <w:color w:val="000000" w:themeColor="text1"/>
              </w:rPr>
            </w:pPr>
            <w:r w:rsidRPr="0081375C">
              <w:rPr>
                <w:rFonts w:ascii="Arial" w:hAnsi="Arial"/>
                <w:color w:val="000000" w:themeColor="text1"/>
              </w:rPr>
              <w:t>7,65</w:t>
            </w:r>
          </w:p>
        </w:tc>
      </w:tr>
    </w:tbl>
    <w:p w14:paraId="532558A4" w14:textId="5CE91198" w:rsidR="751229EA" w:rsidRPr="0081375C" w:rsidRDefault="751229EA" w:rsidP="751229EA">
      <w:pPr>
        <w:spacing w:line="23" w:lineRule="atLeast"/>
        <w:jc w:val="both"/>
        <w:rPr>
          <w:rFonts w:ascii="Arial" w:eastAsia="Aptos" w:hAnsi="Arial" w:cs="Arial"/>
          <w:color w:val="000000" w:themeColor="text1"/>
        </w:rPr>
      </w:pPr>
    </w:p>
    <w:p w14:paraId="2C475A34"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El puntaje total ponderado se calcula como una suma ponderada al igual que en el caso de la priorización hídrica:</w:t>
      </w:r>
    </w:p>
    <w:p w14:paraId="58D8D441" w14:textId="77777777" w:rsidR="00517D1E" w:rsidRPr="0081375C" w:rsidRDefault="00517D1E" w:rsidP="7670D8C4">
      <w:pPr>
        <w:spacing w:line="23" w:lineRule="atLeast"/>
        <w:jc w:val="both"/>
        <w:rPr>
          <w:rFonts w:ascii="Arial" w:eastAsia="Aptos" w:hAnsi="Arial" w:cs="Arial"/>
          <w:color w:val="000000" w:themeColor="text1"/>
        </w:rPr>
      </w:pPr>
    </w:p>
    <w:p w14:paraId="720DF127" w14:textId="644226D6"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Puntaje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 (C1 × 0,2423) + (C2 × 0,1174) + (C3 × 0,0751) + (C4 × 0,4888) + (C5 × 0,0765)</w:t>
      </w:r>
    </w:p>
    <w:p w14:paraId="6B1C6FFE" w14:textId="77777777" w:rsidR="7670D8C4" w:rsidRPr="0081375C" w:rsidRDefault="7670D8C4" w:rsidP="7670D8C4">
      <w:pPr>
        <w:spacing w:line="23" w:lineRule="atLeast"/>
        <w:jc w:val="both"/>
        <w:rPr>
          <w:rFonts w:ascii="Arial" w:eastAsia="Aptos" w:hAnsi="Arial" w:cs="Arial"/>
          <w:color w:val="000000" w:themeColor="text1"/>
        </w:rPr>
      </w:pPr>
    </w:p>
    <w:p w14:paraId="790F87D5" w14:textId="7F1702A7" w:rsidR="5019CF5E" w:rsidRPr="0081375C" w:rsidRDefault="5019CF5E" w:rsidP="751229EA">
      <w:pPr>
        <w:spacing w:line="23" w:lineRule="atLeast"/>
        <w:jc w:val="both"/>
        <w:rPr>
          <w:rFonts w:ascii="Arial" w:eastAsia="Aptos" w:hAnsi="Arial" w:cs="Arial"/>
          <w:b/>
          <w:bCs/>
          <w:i/>
          <w:iCs/>
          <w:color w:val="000000" w:themeColor="text1"/>
        </w:rPr>
      </w:pPr>
      <w:r w:rsidRPr="0081375C">
        <w:rPr>
          <w:rFonts w:ascii="Arial" w:eastAsia="Aptos" w:hAnsi="Arial" w:cs="Arial"/>
          <w:color w:val="000000" w:themeColor="text1"/>
        </w:rPr>
        <w:t xml:space="preserve">El desarrollo detallado de la metodología de selección y priorización de áreas se encuentra adjunta en el </w:t>
      </w:r>
      <w:r w:rsidRPr="0081375C">
        <w:rPr>
          <w:rFonts w:ascii="Arial" w:eastAsia="Aptos" w:hAnsi="Arial" w:cs="Arial"/>
          <w:b/>
          <w:bCs/>
          <w:i/>
          <w:iCs/>
          <w:color w:val="000000" w:themeColor="text1"/>
        </w:rPr>
        <w:t xml:space="preserve">DE-GEAM </w:t>
      </w:r>
      <w:r w:rsidR="00121662" w:rsidRPr="0081375C">
        <w:rPr>
          <w:rFonts w:ascii="Arial" w:eastAsia="Aptos" w:hAnsi="Arial" w:cs="Arial"/>
          <w:b/>
          <w:bCs/>
          <w:i/>
          <w:iCs/>
          <w:color w:val="000000" w:themeColor="text1"/>
        </w:rPr>
        <w:t>Replanteamiento Metodología Criterios de Priorización para la Implementación del Esquema de Pago Por Servicios Ambientales - PSA en Modalidad de Conservación de la Biodiversidad</w:t>
      </w:r>
    </w:p>
    <w:p w14:paraId="155F0151" w14:textId="77777777" w:rsidR="7670D8C4" w:rsidRPr="0081375C" w:rsidRDefault="7670D8C4" w:rsidP="7670D8C4">
      <w:pPr>
        <w:spacing w:line="23" w:lineRule="atLeast"/>
        <w:jc w:val="both"/>
        <w:rPr>
          <w:rFonts w:ascii="Arial" w:eastAsia="Aptos" w:hAnsi="Arial" w:cs="Arial"/>
          <w:color w:val="000000" w:themeColor="text1"/>
        </w:rPr>
      </w:pPr>
    </w:p>
    <w:p w14:paraId="541104A4" w14:textId="4C124476" w:rsidR="5019CF5E" w:rsidRPr="0081375C" w:rsidRDefault="031328A6" w:rsidP="7670D8C4">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C1. Conectividad </w:t>
      </w:r>
      <w:r w:rsidR="5B984188" w:rsidRPr="0081375C">
        <w:rPr>
          <w:rFonts w:ascii="Arial" w:eastAsia="Aptos" w:hAnsi="Arial" w:cs="Arial"/>
          <w:b/>
          <w:bCs/>
          <w:color w:val="000000" w:themeColor="text1"/>
        </w:rPr>
        <w:t>E</w:t>
      </w:r>
      <w:r w:rsidRPr="0081375C">
        <w:rPr>
          <w:rFonts w:ascii="Arial" w:eastAsia="Aptos" w:hAnsi="Arial" w:cs="Arial"/>
          <w:b/>
          <w:bCs/>
          <w:color w:val="000000" w:themeColor="text1"/>
        </w:rPr>
        <w:t>cológica (24,23%):</w:t>
      </w:r>
    </w:p>
    <w:p w14:paraId="7A187ECD" w14:textId="77777777" w:rsidR="7670D8C4" w:rsidRPr="0081375C" w:rsidRDefault="7670D8C4" w:rsidP="7670D8C4">
      <w:pPr>
        <w:spacing w:line="23" w:lineRule="atLeast"/>
        <w:jc w:val="both"/>
        <w:rPr>
          <w:rFonts w:ascii="Arial" w:eastAsia="Aptos" w:hAnsi="Arial" w:cs="Arial"/>
          <w:color w:val="000000" w:themeColor="text1"/>
        </w:rPr>
      </w:pPr>
    </w:p>
    <w:p w14:paraId="7BE3A371" w14:textId="414D75F3"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Este criterio evalúa si el área se localiza dentro de los corredores ecológicos para fauna identificados por la Secretaría de Medio Ambiente y el DAP, que comprenden franjas de enlace, núcleos de conectividad y elementos de la red ecológica estructural del POT. Áreas en corredores biológicos reciben la calificación máxima debido a su mayor exposición relativa a presiones antrópicas respecto a las áreas núcleo, lo que justifica priorizar su conservación. La conectividad ecológica es el factor preponderante de la ponderación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porque el Distrito requiere mantener y fortalecer la continuidad territorial que permite dispersión de fauna, cumplimiento de ciclos de vida de especies migratorias y transferencia de procesos ecológicos a lo largo de gradientes altitudinales. Las áreas fuera de corredores </w:t>
      </w:r>
      <w:r w:rsidR="00121662" w:rsidRPr="0081375C">
        <w:rPr>
          <w:rFonts w:ascii="Arial" w:eastAsia="Aptos" w:hAnsi="Arial" w:cs="Arial"/>
          <w:color w:val="000000" w:themeColor="text1"/>
        </w:rPr>
        <w:t>ecológicos</w:t>
      </w:r>
      <w:r w:rsidRPr="0081375C">
        <w:rPr>
          <w:rFonts w:ascii="Arial" w:eastAsia="Aptos" w:hAnsi="Arial" w:cs="Arial"/>
          <w:color w:val="000000" w:themeColor="text1"/>
        </w:rPr>
        <w:t xml:space="preserve"> reciben calificación mínima.</w:t>
      </w:r>
    </w:p>
    <w:p w14:paraId="786C16F7" w14:textId="77777777" w:rsidR="7670D8C4" w:rsidRPr="0081375C" w:rsidRDefault="7670D8C4" w:rsidP="7670D8C4">
      <w:pPr>
        <w:spacing w:line="23" w:lineRule="atLeast"/>
        <w:jc w:val="both"/>
        <w:rPr>
          <w:rFonts w:ascii="Arial" w:eastAsia="Aptos" w:hAnsi="Arial" w:cs="Arial"/>
          <w:color w:val="000000" w:themeColor="text1"/>
        </w:rPr>
      </w:pPr>
    </w:p>
    <w:p w14:paraId="40547458" w14:textId="11FB3EEE" w:rsidR="5019CF5E" w:rsidRPr="0081375C" w:rsidRDefault="5019CF5E" w:rsidP="7670D8C4">
      <w:pPr>
        <w:spacing w:line="23" w:lineRule="atLeast"/>
        <w:jc w:val="both"/>
        <w:rPr>
          <w:rFonts w:ascii="Arial" w:hAnsi="Arial" w:cs="Arial"/>
          <w:b/>
          <w:bCs/>
          <w:color w:val="000000" w:themeColor="text1"/>
          <w:sz w:val="20"/>
          <w:szCs w:val="20"/>
        </w:rPr>
      </w:pPr>
      <w:bookmarkStart w:id="29" w:name="_Toc233040653"/>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5</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w:t>
      </w:r>
      <w:r w:rsidRPr="0081375C">
        <w:rPr>
          <w:rFonts w:ascii="Arial" w:eastAsia="Aptos" w:hAnsi="Arial" w:cs="Arial"/>
          <w:b/>
          <w:bCs/>
          <w:color w:val="000000" w:themeColor="text1"/>
          <w:sz w:val="20"/>
          <w:szCs w:val="20"/>
        </w:rPr>
        <w:t>Criterio 1</w:t>
      </w:r>
      <w:r w:rsidRPr="0081375C">
        <w:rPr>
          <w:rFonts w:ascii="Arial" w:hAnsi="Arial" w:cs="Arial"/>
          <w:b/>
          <w:bCs/>
          <w:color w:val="000000" w:themeColor="text1"/>
          <w:sz w:val="20"/>
          <w:szCs w:val="20"/>
        </w:rPr>
        <w:t xml:space="preserve"> </w:t>
      </w:r>
      <w:r w:rsidRPr="0081375C">
        <w:rPr>
          <w:rFonts w:ascii="Arial" w:eastAsia="Aptos" w:hAnsi="Arial" w:cs="Arial"/>
          <w:b/>
          <w:bCs/>
          <w:color w:val="000000" w:themeColor="text1"/>
          <w:sz w:val="20"/>
          <w:szCs w:val="20"/>
        </w:rPr>
        <w:t>Conectividad ecológica</w:t>
      </w:r>
      <w:bookmarkEnd w:id="29"/>
      <w:r w:rsidRPr="0081375C">
        <w:rPr>
          <w:rFonts w:ascii="Arial" w:eastAsia="Aptos" w:hAnsi="Arial" w:cs="Arial"/>
          <w:b/>
          <w:bCs/>
          <w:color w:val="000000" w:themeColor="text1"/>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329"/>
        <w:gridCol w:w="4297"/>
      </w:tblGrid>
      <w:tr w:rsidR="7670D8C4" w:rsidRPr="0081375C" w14:paraId="446D1D02" w14:textId="77777777" w:rsidTr="00FD3E82">
        <w:trPr>
          <w:trHeight w:val="20"/>
        </w:trPr>
        <w:tc>
          <w:tcPr>
            <w:tcW w:w="4329" w:type="dxa"/>
            <w:vAlign w:val="center"/>
          </w:tcPr>
          <w:p w14:paraId="7A0D9A39" w14:textId="77777777" w:rsidR="7670D8C4" w:rsidRPr="0081375C" w:rsidRDefault="7670D8C4" w:rsidP="00FD3E82">
            <w:pPr>
              <w:spacing w:line="276" w:lineRule="auto"/>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Variable</w:t>
            </w:r>
          </w:p>
        </w:tc>
        <w:tc>
          <w:tcPr>
            <w:tcW w:w="4297" w:type="dxa"/>
            <w:vAlign w:val="center"/>
          </w:tcPr>
          <w:p w14:paraId="1D602E4A" w14:textId="77777777" w:rsidR="7670D8C4" w:rsidRPr="0081375C" w:rsidRDefault="7670D8C4" w:rsidP="00FD3E82">
            <w:pPr>
              <w:spacing w:line="276" w:lineRule="auto"/>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Puntaje</w:t>
            </w:r>
          </w:p>
        </w:tc>
      </w:tr>
      <w:tr w:rsidR="7670D8C4" w:rsidRPr="0081375C" w14:paraId="7E6F2DBB" w14:textId="77777777" w:rsidTr="00FD3E82">
        <w:trPr>
          <w:trHeight w:val="20"/>
        </w:trPr>
        <w:tc>
          <w:tcPr>
            <w:tcW w:w="4329" w:type="dxa"/>
            <w:vAlign w:val="center"/>
          </w:tcPr>
          <w:p w14:paraId="26DB4023" w14:textId="77777777" w:rsidR="7670D8C4" w:rsidRPr="0081375C" w:rsidRDefault="7670D8C4" w:rsidP="00FD3E82">
            <w:pPr>
              <w:spacing w:line="276" w:lineRule="auto"/>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Dentro de corredores biológicos (franjas, núcleos y zonas de enlace)</w:t>
            </w:r>
          </w:p>
        </w:tc>
        <w:tc>
          <w:tcPr>
            <w:tcW w:w="4297" w:type="dxa"/>
            <w:vAlign w:val="center"/>
          </w:tcPr>
          <w:p w14:paraId="745A2DD3" w14:textId="77777777" w:rsidR="7670D8C4" w:rsidRPr="0081375C" w:rsidRDefault="7670D8C4" w:rsidP="00FD3E82">
            <w:pPr>
              <w:spacing w:line="276" w:lineRule="auto"/>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15</w:t>
            </w:r>
          </w:p>
        </w:tc>
      </w:tr>
      <w:tr w:rsidR="7670D8C4" w:rsidRPr="0081375C" w14:paraId="224AF2D3" w14:textId="77777777" w:rsidTr="00FD3E82">
        <w:trPr>
          <w:trHeight w:val="20"/>
        </w:trPr>
        <w:tc>
          <w:tcPr>
            <w:tcW w:w="4329" w:type="dxa"/>
            <w:vAlign w:val="center"/>
          </w:tcPr>
          <w:p w14:paraId="3D36BE63" w14:textId="77777777" w:rsidR="7670D8C4" w:rsidRPr="0081375C" w:rsidRDefault="7670D8C4" w:rsidP="00FD3E82">
            <w:pPr>
              <w:spacing w:line="276" w:lineRule="auto"/>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Fuera de corredores (sistema orográfico u otras áreas con declaratoria de protección)</w:t>
            </w:r>
          </w:p>
        </w:tc>
        <w:tc>
          <w:tcPr>
            <w:tcW w:w="4297" w:type="dxa"/>
            <w:vAlign w:val="center"/>
          </w:tcPr>
          <w:p w14:paraId="68F38843" w14:textId="77777777" w:rsidR="7670D8C4" w:rsidRPr="0081375C" w:rsidRDefault="0D2BC2B4" w:rsidP="00FD3E82">
            <w:pPr>
              <w:spacing w:line="276" w:lineRule="auto"/>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r>
    </w:tbl>
    <w:p w14:paraId="4C7FD624" w14:textId="77777777" w:rsidR="00121662" w:rsidRPr="0081375C" w:rsidRDefault="00121662" w:rsidP="7670D8C4">
      <w:pPr>
        <w:spacing w:line="23" w:lineRule="atLeast"/>
        <w:jc w:val="both"/>
        <w:rPr>
          <w:rFonts w:ascii="Arial" w:eastAsia="Aptos" w:hAnsi="Arial" w:cs="Arial"/>
          <w:b/>
          <w:bCs/>
          <w:color w:val="000000" w:themeColor="text1"/>
        </w:rPr>
      </w:pPr>
    </w:p>
    <w:p w14:paraId="3EB5E6A1" w14:textId="503CEDE9" w:rsidR="5019CF5E" w:rsidRPr="0081375C" w:rsidRDefault="031328A6" w:rsidP="7670D8C4">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C2. Calidad de la </w:t>
      </w:r>
      <w:r w:rsidR="050245CF" w:rsidRPr="0081375C">
        <w:rPr>
          <w:rFonts w:ascii="Arial" w:eastAsia="Aptos" w:hAnsi="Arial" w:cs="Arial"/>
          <w:b/>
          <w:bCs/>
          <w:color w:val="000000" w:themeColor="text1"/>
        </w:rPr>
        <w:t>V</w:t>
      </w:r>
      <w:r w:rsidRPr="0081375C">
        <w:rPr>
          <w:rFonts w:ascii="Arial" w:eastAsia="Aptos" w:hAnsi="Arial" w:cs="Arial"/>
          <w:b/>
          <w:bCs/>
          <w:color w:val="000000" w:themeColor="text1"/>
        </w:rPr>
        <w:t>egetación (11,74%):</w:t>
      </w:r>
    </w:p>
    <w:p w14:paraId="170B1DAC" w14:textId="77777777" w:rsidR="7670D8C4" w:rsidRPr="0081375C" w:rsidRDefault="7670D8C4" w:rsidP="7670D8C4">
      <w:pPr>
        <w:spacing w:line="23" w:lineRule="atLeast"/>
        <w:jc w:val="both"/>
        <w:rPr>
          <w:rFonts w:ascii="Arial" w:eastAsia="Aptos" w:hAnsi="Arial" w:cs="Arial"/>
          <w:b/>
          <w:bCs/>
          <w:color w:val="000000" w:themeColor="text1"/>
        </w:rPr>
      </w:pPr>
    </w:p>
    <w:p w14:paraId="0084677F" w14:textId="76582DEB"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Este criterio califica el tipo, estado e integridad de las coberturas vegetales y la proporción de cobertura boscosa del predio. Se estructura en dos </w:t>
      </w:r>
      <w:r w:rsidRPr="0081375C">
        <w:rPr>
          <w:rFonts w:ascii="Arial" w:hAnsi="Arial"/>
          <w:color w:val="000000" w:themeColor="text1"/>
        </w:rPr>
        <w:t>factores cuya suma</w:t>
      </w:r>
      <w:r w:rsidRPr="0081375C">
        <w:rPr>
          <w:rFonts w:ascii="Arial" w:eastAsia="Aptos" w:hAnsi="Arial" w:cs="Arial"/>
          <w:color w:val="000000" w:themeColor="text1"/>
        </w:rPr>
        <w:t xml:space="preserve"> constituye el puntaje final del criterio (escala 2–15). El Factor 1 caracteriza el tipo de cobertura según la clasificación CORINE Land Cover, diferenciando entre coberturas naturales (máxima calificación), seminaturales y/o </w:t>
      </w:r>
      <w:proofErr w:type="spellStart"/>
      <w:r w:rsidRPr="0081375C">
        <w:rPr>
          <w:rFonts w:ascii="Arial" w:eastAsia="Aptos" w:hAnsi="Arial" w:cs="Arial"/>
          <w:color w:val="000000" w:themeColor="text1"/>
        </w:rPr>
        <w:t>antropizadas</w:t>
      </w:r>
      <w:proofErr w:type="spellEnd"/>
      <w:r w:rsidRPr="0081375C">
        <w:rPr>
          <w:rFonts w:ascii="Arial" w:eastAsia="Aptos" w:hAnsi="Arial" w:cs="Arial"/>
          <w:color w:val="000000" w:themeColor="text1"/>
        </w:rPr>
        <w:t xml:space="preserve"> (calificación media) y territorios artificializados (calificación mínima); el Factor 2 evalúa cantidad de cobertura boscosa como indicador de conservación de estructura ecosistémica. La integración de ambos factores permite diferenciar los predios ubicados en coberturas naturales, como bosque denso o bosque fragmentado, con alta presencia de áreas boscosas y mayor aptitud para el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en la modalidad de conservación, de aquellos localizados en coberturas seminaturales o </w:t>
      </w:r>
      <w:proofErr w:type="spellStart"/>
      <w:r w:rsidRPr="0081375C">
        <w:rPr>
          <w:rFonts w:ascii="Arial" w:eastAsia="Aptos" w:hAnsi="Arial" w:cs="Arial"/>
          <w:color w:val="000000" w:themeColor="text1"/>
        </w:rPr>
        <w:t>antropizadas</w:t>
      </w:r>
      <w:proofErr w:type="spellEnd"/>
      <w:r w:rsidRPr="0081375C">
        <w:rPr>
          <w:rFonts w:ascii="Arial" w:eastAsia="Aptos" w:hAnsi="Arial" w:cs="Arial"/>
          <w:color w:val="000000" w:themeColor="text1"/>
        </w:rPr>
        <w:t>, con menor proporción de bosque y mayor potencial para la modalidad de restauración.</w:t>
      </w:r>
    </w:p>
    <w:p w14:paraId="64CAEBC0" w14:textId="77777777" w:rsidR="7670D8C4" w:rsidRPr="0081375C" w:rsidRDefault="7670D8C4" w:rsidP="7670D8C4">
      <w:pPr>
        <w:spacing w:line="23" w:lineRule="atLeast"/>
        <w:jc w:val="both"/>
        <w:rPr>
          <w:rFonts w:ascii="Arial" w:eastAsia="Aptos" w:hAnsi="Arial" w:cs="Arial"/>
          <w:color w:val="000000" w:themeColor="text1"/>
        </w:rPr>
      </w:pPr>
    </w:p>
    <w:p w14:paraId="2FAD349C" w14:textId="244043D3" w:rsidR="5019CF5E" w:rsidRPr="0081375C" w:rsidRDefault="5019CF5E" w:rsidP="7670D8C4">
      <w:pPr>
        <w:spacing w:line="23" w:lineRule="atLeast"/>
        <w:jc w:val="both"/>
        <w:rPr>
          <w:rFonts w:ascii="Arial" w:hAnsi="Arial" w:cs="Arial"/>
          <w:b/>
          <w:bCs/>
          <w:color w:val="000000" w:themeColor="text1"/>
          <w:sz w:val="20"/>
          <w:szCs w:val="20"/>
        </w:rPr>
      </w:pPr>
      <w:bookmarkStart w:id="30" w:name="_Toc233040654"/>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6</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Variables de Criterio 2. Calidad de la vegetación</w:t>
      </w:r>
      <w:bookmarkEnd w:id="30"/>
      <w:r w:rsidRPr="0081375C">
        <w:rPr>
          <w:rFonts w:ascii="Arial" w:hAnsi="Arial" w:cs="Arial"/>
          <w:b/>
          <w:bCs/>
          <w:color w:val="000000" w:themeColor="text1"/>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2778"/>
        <w:gridCol w:w="1159"/>
        <w:gridCol w:w="578"/>
        <w:gridCol w:w="942"/>
        <w:gridCol w:w="942"/>
        <w:gridCol w:w="579"/>
      </w:tblGrid>
      <w:tr w:rsidR="7670D8C4" w:rsidRPr="0081375C" w14:paraId="152F87C3" w14:textId="77777777" w:rsidTr="00FD3E82">
        <w:trPr>
          <w:trHeight w:val="20"/>
          <w:tblHeader/>
        </w:trPr>
        <w:tc>
          <w:tcPr>
            <w:tcW w:w="8636" w:type="dxa"/>
            <w:gridSpan w:val="7"/>
            <w:shd w:val="clear" w:color="auto" w:fill="FFFFFF" w:themeFill="background1"/>
            <w:vAlign w:val="center"/>
          </w:tcPr>
          <w:p w14:paraId="6E2542CD"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Matriz de calificación de la Calidad de la vegetación</w:t>
            </w:r>
          </w:p>
        </w:tc>
      </w:tr>
      <w:tr w:rsidR="7670D8C4" w:rsidRPr="0081375C" w14:paraId="3B2F4681" w14:textId="77777777" w:rsidTr="00FD3E82">
        <w:trPr>
          <w:trHeight w:val="20"/>
          <w:tblHeader/>
        </w:trPr>
        <w:tc>
          <w:tcPr>
            <w:tcW w:w="1658" w:type="dxa"/>
            <w:vMerge w:val="restart"/>
            <w:shd w:val="clear" w:color="auto" w:fill="FFFFFF" w:themeFill="background1"/>
            <w:vAlign w:val="center"/>
          </w:tcPr>
          <w:p w14:paraId="5A60895F"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Variables</w:t>
            </w:r>
          </w:p>
        </w:tc>
        <w:tc>
          <w:tcPr>
            <w:tcW w:w="2778" w:type="dxa"/>
            <w:vMerge w:val="restart"/>
            <w:shd w:val="clear" w:color="auto" w:fill="FFFFFF" w:themeFill="background1"/>
            <w:vAlign w:val="center"/>
          </w:tcPr>
          <w:p w14:paraId="2572A445"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Agrupación de las coberturas</w:t>
            </w:r>
          </w:p>
        </w:tc>
        <w:tc>
          <w:tcPr>
            <w:tcW w:w="1159" w:type="dxa"/>
            <w:vMerge w:val="restart"/>
            <w:shd w:val="clear" w:color="auto" w:fill="FFFFFF" w:themeFill="background1"/>
            <w:vAlign w:val="center"/>
          </w:tcPr>
          <w:p w14:paraId="155898FA"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Puntaje</w:t>
            </w:r>
          </w:p>
        </w:tc>
        <w:tc>
          <w:tcPr>
            <w:tcW w:w="3041" w:type="dxa"/>
            <w:gridSpan w:val="4"/>
            <w:shd w:val="clear" w:color="auto" w:fill="FFFFFF" w:themeFill="background1"/>
            <w:vAlign w:val="center"/>
          </w:tcPr>
          <w:p w14:paraId="19E4BB3D"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 de cobertura de bosque</w:t>
            </w:r>
          </w:p>
        </w:tc>
      </w:tr>
      <w:tr w:rsidR="7670D8C4" w:rsidRPr="0081375C" w14:paraId="2316CA5D" w14:textId="77777777" w:rsidTr="00FD3E82">
        <w:trPr>
          <w:trHeight w:val="20"/>
          <w:tblHeader/>
        </w:trPr>
        <w:tc>
          <w:tcPr>
            <w:tcW w:w="1658" w:type="dxa"/>
            <w:vMerge/>
            <w:vAlign w:val="center"/>
          </w:tcPr>
          <w:p w14:paraId="19A68B09" w14:textId="77777777" w:rsidR="009D16BB" w:rsidRPr="0081375C" w:rsidRDefault="009D16BB" w:rsidP="00FD3E82">
            <w:pPr>
              <w:jc w:val="center"/>
            </w:pPr>
          </w:p>
        </w:tc>
        <w:tc>
          <w:tcPr>
            <w:tcW w:w="2778" w:type="dxa"/>
            <w:vMerge/>
            <w:vAlign w:val="center"/>
          </w:tcPr>
          <w:p w14:paraId="2BD78347" w14:textId="77777777" w:rsidR="009D16BB" w:rsidRPr="0081375C" w:rsidRDefault="009D16BB" w:rsidP="00FD3E82">
            <w:pPr>
              <w:jc w:val="center"/>
            </w:pPr>
          </w:p>
        </w:tc>
        <w:tc>
          <w:tcPr>
            <w:tcW w:w="1159" w:type="dxa"/>
            <w:vMerge/>
            <w:vAlign w:val="center"/>
          </w:tcPr>
          <w:p w14:paraId="0ADFA0D6" w14:textId="77777777" w:rsidR="009D16BB" w:rsidRPr="0081375C" w:rsidRDefault="009D16BB" w:rsidP="00FD3E82">
            <w:pPr>
              <w:jc w:val="center"/>
            </w:pPr>
          </w:p>
        </w:tc>
        <w:tc>
          <w:tcPr>
            <w:tcW w:w="578" w:type="dxa"/>
            <w:shd w:val="clear" w:color="auto" w:fill="FFFFFF" w:themeFill="background1"/>
            <w:vAlign w:val="center"/>
          </w:tcPr>
          <w:p w14:paraId="6EB1AB0E"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&lt;10</w:t>
            </w:r>
          </w:p>
        </w:tc>
        <w:tc>
          <w:tcPr>
            <w:tcW w:w="942" w:type="dxa"/>
            <w:shd w:val="clear" w:color="auto" w:fill="FFFFFF" w:themeFill="background1"/>
            <w:vAlign w:val="center"/>
          </w:tcPr>
          <w:p w14:paraId="7E07F567"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&gt;10&lt;40</w:t>
            </w:r>
          </w:p>
        </w:tc>
        <w:tc>
          <w:tcPr>
            <w:tcW w:w="942" w:type="dxa"/>
            <w:shd w:val="clear" w:color="auto" w:fill="FFFFFF" w:themeFill="background1"/>
            <w:vAlign w:val="center"/>
          </w:tcPr>
          <w:p w14:paraId="73DE0A76"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&gt;40&lt;70</w:t>
            </w:r>
          </w:p>
        </w:tc>
        <w:tc>
          <w:tcPr>
            <w:tcW w:w="579" w:type="dxa"/>
            <w:shd w:val="clear" w:color="auto" w:fill="FFFFFF" w:themeFill="background1"/>
            <w:vAlign w:val="center"/>
          </w:tcPr>
          <w:p w14:paraId="0AECC651"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&gt;70</w:t>
            </w:r>
          </w:p>
        </w:tc>
      </w:tr>
      <w:tr w:rsidR="7670D8C4" w:rsidRPr="0081375C" w14:paraId="4411D52C" w14:textId="77777777" w:rsidTr="00FD3E82">
        <w:trPr>
          <w:trHeight w:val="20"/>
        </w:trPr>
        <w:tc>
          <w:tcPr>
            <w:tcW w:w="1658" w:type="dxa"/>
            <w:vMerge w:val="restart"/>
            <w:shd w:val="clear" w:color="auto" w:fill="FFFFFF" w:themeFill="background1"/>
            <w:vAlign w:val="center"/>
          </w:tcPr>
          <w:p w14:paraId="0DFA215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Presencia de coberturas naturales</w:t>
            </w:r>
          </w:p>
        </w:tc>
        <w:tc>
          <w:tcPr>
            <w:tcW w:w="2778" w:type="dxa"/>
            <w:shd w:val="clear" w:color="auto" w:fill="FFFFFF" w:themeFill="background1"/>
            <w:vAlign w:val="center"/>
          </w:tcPr>
          <w:p w14:paraId="1B9D37E6"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Bosque abierto</w:t>
            </w:r>
          </w:p>
        </w:tc>
        <w:tc>
          <w:tcPr>
            <w:tcW w:w="1159" w:type="dxa"/>
            <w:vMerge w:val="restart"/>
            <w:shd w:val="clear" w:color="auto" w:fill="FFFFFF" w:themeFill="background1"/>
            <w:vAlign w:val="center"/>
          </w:tcPr>
          <w:p w14:paraId="0ECD0485"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10</w:t>
            </w:r>
          </w:p>
        </w:tc>
        <w:tc>
          <w:tcPr>
            <w:tcW w:w="578" w:type="dxa"/>
            <w:shd w:val="clear" w:color="auto" w:fill="FFFFFF" w:themeFill="background1"/>
            <w:vAlign w:val="center"/>
          </w:tcPr>
          <w:p w14:paraId="63243766"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701050C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6BE7BC6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287F1F3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0C122954" w14:textId="77777777" w:rsidTr="00FD3E82">
        <w:trPr>
          <w:trHeight w:val="20"/>
        </w:trPr>
        <w:tc>
          <w:tcPr>
            <w:tcW w:w="1658" w:type="dxa"/>
            <w:vMerge/>
            <w:vAlign w:val="center"/>
          </w:tcPr>
          <w:p w14:paraId="750C5F0C" w14:textId="77777777" w:rsidR="009D16BB" w:rsidRPr="0081375C" w:rsidRDefault="009D16BB" w:rsidP="00FD3E82">
            <w:pPr>
              <w:jc w:val="center"/>
            </w:pPr>
          </w:p>
        </w:tc>
        <w:tc>
          <w:tcPr>
            <w:tcW w:w="2778" w:type="dxa"/>
            <w:shd w:val="clear" w:color="auto" w:fill="FFFFFF" w:themeFill="background1"/>
            <w:vAlign w:val="center"/>
          </w:tcPr>
          <w:p w14:paraId="3F50033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Bosque de galería y </w:t>
            </w:r>
            <w:proofErr w:type="spellStart"/>
            <w:r w:rsidRPr="0081375C">
              <w:rPr>
                <w:rFonts w:ascii="Arial" w:eastAsia="Arial" w:hAnsi="Arial" w:cs="Arial"/>
                <w:color w:val="000000" w:themeColor="text1"/>
                <w:sz w:val="20"/>
                <w:szCs w:val="20"/>
              </w:rPr>
              <w:t>ripario</w:t>
            </w:r>
            <w:proofErr w:type="spellEnd"/>
          </w:p>
        </w:tc>
        <w:tc>
          <w:tcPr>
            <w:tcW w:w="1159" w:type="dxa"/>
            <w:vMerge/>
            <w:vAlign w:val="center"/>
          </w:tcPr>
          <w:p w14:paraId="6E8844E2" w14:textId="77777777" w:rsidR="009D16BB" w:rsidRPr="0081375C" w:rsidRDefault="009D16BB" w:rsidP="00FD3E82">
            <w:pPr>
              <w:jc w:val="center"/>
            </w:pPr>
          </w:p>
        </w:tc>
        <w:tc>
          <w:tcPr>
            <w:tcW w:w="578" w:type="dxa"/>
            <w:shd w:val="clear" w:color="auto" w:fill="FFFFFF" w:themeFill="background1"/>
            <w:vAlign w:val="center"/>
          </w:tcPr>
          <w:p w14:paraId="4904A17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77E9DB5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0B48066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11BDC34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18C2FA9B" w14:textId="77777777" w:rsidTr="00FD3E82">
        <w:trPr>
          <w:trHeight w:val="20"/>
        </w:trPr>
        <w:tc>
          <w:tcPr>
            <w:tcW w:w="1658" w:type="dxa"/>
            <w:vMerge/>
            <w:vAlign w:val="center"/>
          </w:tcPr>
          <w:p w14:paraId="4D348D05" w14:textId="77777777" w:rsidR="009D16BB" w:rsidRPr="0081375C" w:rsidRDefault="009D16BB" w:rsidP="00FD3E82">
            <w:pPr>
              <w:jc w:val="center"/>
            </w:pPr>
          </w:p>
        </w:tc>
        <w:tc>
          <w:tcPr>
            <w:tcW w:w="2778" w:type="dxa"/>
            <w:shd w:val="clear" w:color="auto" w:fill="FFFFFF" w:themeFill="background1"/>
            <w:vAlign w:val="center"/>
          </w:tcPr>
          <w:p w14:paraId="7F57C25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Bosque denso</w:t>
            </w:r>
          </w:p>
        </w:tc>
        <w:tc>
          <w:tcPr>
            <w:tcW w:w="1159" w:type="dxa"/>
            <w:vMerge/>
            <w:vAlign w:val="center"/>
          </w:tcPr>
          <w:p w14:paraId="436D6997" w14:textId="77777777" w:rsidR="009D16BB" w:rsidRPr="0081375C" w:rsidRDefault="009D16BB" w:rsidP="00FD3E82">
            <w:pPr>
              <w:jc w:val="center"/>
            </w:pPr>
          </w:p>
        </w:tc>
        <w:tc>
          <w:tcPr>
            <w:tcW w:w="578" w:type="dxa"/>
            <w:shd w:val="clear" w:color="auto" w:fill="FFFFFF" w:themeFill="background1"/>
            <w:vAlign w:val="center"/>
          </w:tcPr>
          <w:p w14:paraId="3C6B3D4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29734E7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25BBD7A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1B9D85C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4D980E4A" w14:textId="77777777" w:rsidTr="00FD3E82">
        <w:trPr>
          <w:trHeight w:val="20"/>
        </w:trPr>
        <w:tc>
          <w:tcPr>
            <w:tcW w:w="1658" w:type="dxa"/>
            <w:vMerge/>
            <w:vAlign w:val="center"/>
          </w:tcPr>
          <w:p w14:paraId="39F3EDA7" w14:textId="77777777" w:rsidR="009D16BB" w:rsidRPr="0081375C" w:rsidRDefault="009D16BB" w:rsidP="00FD3E82">
            <w:pPr>
              <w:jc w:val="center"/>
            </w:pPr>
          </w:p>
        </w:tc>
        <w:tc>
          <w:tcPr>
            <w:tcW w:w="2778" w:type="dxa"/>
            <w:shd w:val="clear" w:color="auto" w:fill="FFFFFF" w:themeFill="background1"/>
            <w:vAlign w:val="center"/>
          </w:tcPr>
          <w:p w14:paraId="5486D30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Bosque fragmentado</w:t>
            </w:r>
          </w:p>
        </w:tc>
        <w:tc>
          <w:tcPr>
            <w:tcW w:w="1159" w:type="dxa"/>
            <w:vMerge/>
            <w:vAlign w:val="center"/>
          </w:tcPr>
          <w:p w14:paraId="724F6E3B" w14:textId="77777777" w:rsidR="009D16BB" w:rsidRPr="0081375C" w:rsidRDefault="009D16BB" w:rsidP="00FD3E82">
            <w:pPr>
              <w:jc w:val="center"/>
            </w:pPr>
          </w:p>
        </w:tc>
        <w:tc>
          <w:tcPr>
            <w:tcW w:w="578" w:type="dxa"/>
            <w:shd w:val="clear" w:color="auto" w:fill="FFFFFF" w:themeFill="background1"/>
            <w:vAlign w:val="center"/>
          </w:tcPr>
          <w:p w14:paraId="3746E125"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302B709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1986974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64913EA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4041FC04" w14:textId="77777777" w:rsidTr="00FD3E82">
        <w:trPr>
          <w:trHeight w:val="20"/>
        </w:trPr>
        <w:tc>
          <w:tcPr>
            <w:tcW w:w="1658" w:type="dxa"/>
            <w:vMerge/>
            <w:vAlign w:val="center"/>
          </w:tcPr>
          <w:p w14:paraId="02A5876B" w14:textId="77777777" w:rsidR="009D16BB" w:rsidRPr="0081375C" w:rsidRDefault="009D16BB" w:rsidP="00FD3E82">
            <w:pPr>
              <w:jc w:val="center"/>
            </w:pPr>
          </w:p>
        </w:tc>
        <w:tc>
          <w:tcPr>
            <w:tcW w:w="2778" w:type="dxa"/>
            <w:shd w:val="clear" w:color="auto" w:fill="FFFFFF" w:themeFill="background1"/>
            <w:vAlign w:val="center"/>
          </w:tcPr>
          <w:p w14:paraId="2F9C331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Lagunas lagos y ciénagas naturales</w:t>
            </w:r>
          </w:p>
        </w:tc>
        <w:tc>
          <w:tcPr>
            <w:tcW w:w="1159" w:type="dxa"/>
            <w:vMerge/>
            <w:vAlign w:val="center"/>
          </w:tcPr>
          <w:p w14:paraId="6427970C" w14:textId="77777777" w:rsidR="009D16BB" w:rsidRPr="0081375C" w:rsidRDefault="009D16BB" w:rsidP="00FD3E82">
            <w:pPr>
              <w:jc w:val="center"/>
            </w:pPr>
          </w:p>
        </w:tc>
        <w:tc>
          <w:tcPr>
            <w:tcW w:w="578" w:type="dxa"/>
            <w:shd w:val="clear" w:color="auto" w:fill="FFFFFF" w:themeFill="background1"/>
            <w:vAlign w:val="center"/>
          </w:tcPr>
          <w:p w14:paraId="3A6CAC6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306B5AA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6F757A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04FFB5B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51D87B98" w14:textId="77777777" w:rsidTr="00FD3E82">
        <w:trPr>
          <w:trHeight w:val="20"/>
        </w:trPr>
        <w:tc>
          <w:tcPr>
            <w:tcW w:w="1658" w:type="dxa"/>
            <w:vMerge w:val="restart"/>
            <w:shd w:val="clear" w:color="auto" w:fill="FFFFFF" w:themeFill="background1"/>
            <w:vAlign w:val="center"/>
          </w:tcPr>
          <w:p w14:paraId="5CC35A3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Coberturas</w:t>
            </w:r>
          </w:p>
          <w:p w14:paraId="34269C5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Seminaturales y/o </w:t>
            </w:r>
            <w:proofErr w:type="spellStart"/>
            <w:r w:rsidRPr="0081375C">
              <w:rPr>
                <w:rFonts w:ascii="Arial" w:eastAsia="Arial" w:hAnsi="Arial" w:cs="Arial"/>
                <w:color w:val="000000" w:themeColor="text1"/>
                <w:sz w:val="20"/>
                <w:szCs w:val="20"/>
              </w:rPr>
              <w:t>antropizadas</w:t>
            </w:r>
            <w:proofErr w:type="spellEnd"/>
          </w:p>
        </w:tc>
        <w:tc>
          <w:tcPr>
            <w:tcW w:w="2778" w:type="dxa"/>
            <w:shd w:val="clear" w:color="auto" w:fill="FFFFFF" w:themeFill="background1"/>
            <w:vAlign w:val="center"/>
          </w:tcPr>
          <w:p w14:paraId="0CD244B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Arbustal</w:t>
            </w:r>
          </w:p>
        </w:tc>
        <w:tc>
          <w:tcPr>
            <w:tcW w:w="1159" w:type="dxa"/>
            <w:vMerge w:val="restart"/>
            <w:shd w:val="clear" w:color="auto" w:fill="FFFFFF" w:themeFill="background1"/>
            <w:vAlign w:val="center"/>
          </w:tcPr>
          <w:p w14:paraId="5838D0B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7</w:t>
            </w:r>
          </w:p>
        </w:tc>
        <w:tc>
          <w:tcPr>
            <w:tcW w:w="578" w:type="dxa"/>
            <w:shd w:val="clear" w:color="auto" w:fill="FFFFFF" w:themeFill="background1"/>
            <w:vAlign w:val="center"/>
          </w:tcPr>
          <w:p w14:paraId="75DCC17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7A076A0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5208E26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760C9255"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5004E836" w14:textId="77777777" w:rsidTr="00FD3E82">
        <w:trPr>
          <w:trHeight w:val="20"/>
        </w:trPr>
        <w:tc>
          <w:tcPr>
            <w:tcW w:w="1658" w:type="dxa"/>
            <w:vMerge/>
            <w:vAlign w:val="center"/>
          </w:tcPr>
          <w:p w14:paraId="4B33534F" w14:textId="77777777" w:rsidR="009D16BB" w:rsidRPr="0081375C" w:rsidRDefault="009D16BB" w:rsidP="00FD3E82">
            <w:pPr>
              <w:jc w:val="center"/>
            </w:pPr>
          </w:p>
        </w:tc>
        <w:tc>
          <w:tcPr>
            <w:tcW w:w="2778" w:type="dxa"/>
            <w:shd w:val="clear" w:color="auto" w:fill="FFFFFF" w:themeFill="background1"/>
            <w:vAlign w:val="center"/>
          </w:tcPr>
          <w:p w14:paraId="633B291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Plantación forestal</w:t>
            </w:r>
          </w:p>
        </w:tc>
        <w:tc>
          <w:tcPr>
            <w:tcW w:w="1159" w:type="dxa"/>
            <w:vMerge/>
            <w:vAlign w:val="center"/>
          </w:tcPr>
          <w:p w14:paraId="34FF5814" w14:textId="77777777" w:rsidR="009D16BB" w:rsidRPr="0081375C" w:rsidRDefault="009D16BB" w:rsidP="00FD3E82">
            <w:pPr>
              <w:jc w:val="center"/>
            </w:pPr>
          </w:p>
        </w:tc>
        <w:tc>
          <w:tcPr>
            <w:tcW w:w="578" w:type="dxa"/>
            <w:shd w:val="clear" w:color="auto" w:fill="FFFFFF" w:themeFill="background1"/>
            <w:vAlign w:val="center"/>
          </w:tcPr>
          <w:p w14:paraId="689D847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3C98DDE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31AA76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622842C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2FE57243" w14:textId="77777777" w:rsidTr="00FD3E82">
        <w:trPr>
          <w:trHeight w:val="20"/>
        </w:trPr>
        <w:tc>
          <w:tcPr>
            <w:tcW w:w="1658" w:type="dxa"/>
            <w:vMerge/>
            <w:vAlign w:val="center"/>
          </w:tcPr>
          <w:p w14:paraId="3E458790" w14:textId="77777777" w:rsidR="009D16BB" w:rsidRPr="0081375C" w:rsidRDefault="009D16BB" w:rsidP="00FD3E82">
            <w:pPr>
              <w:jc w:val="center"/>
            </w:pPr>
          </w:p>
        </w:tc>
        <w:tc>
          <w:tcPr>
            <w:tcW w:w="2778" w:type="dxa"/>
            <w:shd w:val="clear" w:color="auto" w:fill="FFFFFF" w:themeFill="background1"/>
            <w:vAlign w:val="center"/>
          </w:tcPr>
          <w:p w14:paraId="1BBB3E9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Vegetación secundaria o en transición</w:t>
            </w:r>
          </w:p>
        </w:tc>
        <w:tc>
          <w:tcPr>
            <w:tcW w:w="1159" w:type="dxa"/>
            <w:vMerge/>
            <w:vAlign w:val="center"/>
          </w:tcPr>
          <w:p w14:paraId="7CAEFD32" w14:textId="77777777" w:rsidR="009D16BB" w:rsidRPr="0081375C" w:rsidRDefault="009D16BB" w:rsidP="00FD3E82">
            <w:pPr>
              <w:jc w:val="center"/>
            </w:pPr>
          </w:p>
        </w:tc>
        <w:tc>
          <w:tcPr>
            <w:tcW w:w="578" w:type="dxa"/>
            <w:shd w:val="clear" w:color="auto" w:fill="FFFFFF" w:themeFill="background1"/>
            <w:vAlign w:val="center"/>
          </w:tcPr>
          <w:p w14:paraId="6676CC6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78662CC5"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CCC9D16"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0CC871B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4BCACAE1" w14:textId="77777777" w:rsidTr="00FD3E82">
        <w:trPr>
          <w:trHeight w:val="20"/>
        </w:trPr>
        <w:tc>
          <w:tcPr>
            <w:tcW w:w="1658" w:type="dxa"/>
            <w:vMerge/>
            <w:vAlign w:val="center"/>
          </w:tcPr>
          <w:p w14:paraId="160F0C25" w14:textId="77777777" w:rsidR="009D16BB" w:rsidRPr="0081375C" w:rsidRDefault="009D16BB" w:rsidP="00FD3E82">
            <w:pPr>
              <w:jc w:val="center"/>
            </w:pPr>
          </w:p>
        </w:tc>
        <w:tc>
          <w:tcPr>
            <w:tcW w:w="2778" w:type="dxa"/>
            <w:shd w:val="clear" w:color="auto" w:fill="FFFFFF" w:themeFill="background1"/>
            <w:vAlign w:val="center"/>
          </w:tcPr>
          <w:p w14:paraId="3DEBEBF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Cultivos permanentes arbóreos</w:t>
            </w:r>
          </w:p>
        </w:tc>
        <w:tc>
          <w:tcPr>
            <w:tcW w:w="1159" w:type="dxa"/>
            <w:vMerge w:val="restart"/>
            <w:shd w:val="clear" w:color="auto" w:fill="FFFFFF" w:themeFill="background1"/>
            <w:vAlign w:val="center"/>
          </w:tcPr>
          <w:p w14:paraId="25E1DFF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4</w:t>
            </w:r>
          </w:p>
        </w:tc>
        <w:tc>
          <w:tcPr>
            <w:tcW w:w="578" w:type="dxa"/>
            <w:shd w:val="clear" w:color="auto" w:fill="FFFFFF" w:themeFill="background1"/>
            <w:vAlign w:val="center"/>
          </w:tcPr>
          <w:p w14:paraId="6CE9ABE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1AB18DF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349E114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9B388B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08D2547B" w14:textId="77777777" w:rsidTr="00FD3E82">
        <w:trPr>
          <w:trHeight w:val="20"/>
        </w:trPr>
        <w:tc>
          <w:tcPr>
            <w:tcW w:w="1658" w:type="dxa"/>
            <w:vMerge/>
            <w:vAlign w:val="center"/>
          </w:tcPr>
          <w:p w14:paraId="2A4453AA" w14:textId="77777777" w:rsidR="009D16BB" w:rsidRPr="0081375C" w:rsidRDefault="009D16BB" w:rsidP="00FD3E82">
            <w:pPr>
              <w:jc w:val="center"/>
            </w:pPr>
          </w:p>
        </w:tc>
        <w:tc>
          <w:tcPr>
            <w:tcW w:w="2778" w:type="dxa"/>
            <w:shd w:val="clear" w:color="auto" w:fill="FFFFFF" w:themeFill="background1"/>
            <w:vAlign w:val="center"/>
          </w:tcPr>
          <w:p w14:paraId="271F0E1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Cultivos permanentes arbustivos</w:t>
            </w:r>
          </w:p>
        </w:tc>
        <w:tc>
          <w:tcPr>
            <w:tcW w:w="1159" w:type="dxa"/>
            <w:vMerge/>
            <w:vAlign w:val="center"/>
          </w:tcPr>
          <w:p w14:paraId="2657E989" w14:textId="77777777" w:rsidR="009D16BB" w:rsidRPr="0081375C" w:rsidRDefault="009D16BB" w:rsidP="00FD3E82">
            <w:pPr>
              <w:jc w:val="center"/>
            </w:pPr>
          </w:p>
        </w:tc>
        <w:tc>
          <w:tcPr>
            <w:tcW w:w="578" w:type="dxa"/>
            <w:shd w:val="clear" w:color="auto" w:fill="FFFFFF" w:themeFill="background1"/>
            <w:vAlign w:val="center"/>
          </w:tcPr>
          <w:p w14:paraId="6E6CD63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601B5DA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54EB1B0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BFC5BA6"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76175B13" w14:textId="77777777" w:rsidTr="00FD3E82">
        <w:trPr>
          <w:trHeight w:val="20"/>
        </w:trPr>
        <w:tc>
          <w:tcPr>
            <w:tcW w:w="1658" w:type="dxa"/>
            <w:vMerge/>
            <w:vAlign w:val="center"/>
          </w:tcPr>
          <w:p w14:paraId="48B9F222" w14:textId="77777777" w:rsidR="009D16BB" w:rsidRPr="0081375C" w:rsidRDefault="009D16BB" w:rsidP="00FD3E82">
            <w:pPr>
              <w:jc w:val="center"/>
            </w:pPr>
          </w:p>
        </w:tc>
        <w:tc>
          <w:tcPr>
            <w:tcW w:w="2778" w:type="dxa"/>
            <w:shd w:val="clear" w:color="auto" w:fill="FFFFFF" w:themeFill="background1"/>
            <w:vAlign w:val="center"/>
          </w:tcPr>
          <w:p w14:paraId="3BB769A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Cultivos permanentes herbáceos</w:t>
            </w:r>
          </w:p>
        </w:tc>
        <w:tc>
          <w:tcPr>
            <w:tcW w:w="1159" w:type="dxa"/>
            <w:vMerge/>
            <w:vAlign w:val="center"/>
          </w:tcPr>
          <w:p w14:paraId="79A1EC72" w14:textId="77777777" w:rsidR="009D16BB" w:rsidRPr="0081375C" w:rsidRDefault="009D16BB" w:rsidP="00FD3E82">
            <w:pPr>
              <w:jc w:val="center"/>
            </w:pPr>
          </w:p>
        </w:tc>
        <w:tc>
          <w:tcPr>
            <w:tcW w:w="578" w:type="dxa"/>
            <w:shd w:val="clear" w:color="auto" w:fill="FFFFFF" w:themeFill="background1"/>
            <w:vAlign w:val="center"/>
          </w:tcPr>
          <w:p w14:paraId="600DCAA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3FFB4C6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CA8D3B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B91C5C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0A1075EB" w14:textId="77777777" w:rsidTr="00FD3E82">
        <w:trPr>
          <w:trHeight w:val="20"/>
        </w:trPr>
        <w:tc>
          <w:tcPr>
            <w:tcW w:w="1658" w:type="dxa"/>
            <w:vMerge/>
            <w:vAlign w:val="center"/>
          </w:tcPr>
          <w:p w14:paraId="4E5C495B" w14:textId="77777777" w:rsidR="009D16BB" w:rsidRPr="0081375C" w:rsidRDefault="009D16BB" w:rsidP="00FD3E82">
            <w:pPr>
              <w:jc w:val="center"/>
            </w:pPr>
          </w:p>
        </w:tc>
        <w:tc>
          <w:tcPr>
            <w:tcW w:w="2778" w:type="dxa"/>
            <w:shd w:val="clear" w:color="auto" w:fill="FFFFFF" w:themeFill="background1"/>
            <w:vAlign w:val="center"/>
          </w:tcPr>
          <w:p w14:paraId="734126F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Mosaico de cultivos</w:t>
            </w:r>
          </w:p>
        </w:tc>
        <w:tc>
          <w:tcPr>
            <w:tcW w:w="1159" w:type="dxa"/>
            <w:vMerge/>
            <w:vAlign w:val="center"/>
          </w:tcPr>
          <w:p w14:paraId="2767C4D0" w14:textId="77777777" w:rsidR="009D16BB" w:rsidRPr="0081375C" w:rsidRDefault="009D16BB" w:rsidP="00FD3E82">
            <w:pPr>
              <w:jc w:val="center"/>
            </w:pPr>
          </w:p>
        </w:tc>
        <w:tc>
          <w:tcPr>
            <w:tcW w:w="578" w:type="dxa"/>
            <w:shd w:val="clear" w:color="auto" w:fill="FFFFFF" w:themeFill="background1"/>
            <w:vAlign w:val="center"/>
          </w:tcPr>
          <w:p w14:paraId="667DF44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51C39F8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6A4A4D1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5AA3BD0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293823F9" w14:textId="77777777" w:rsidTr="00FD3E82">
        <w:trPr>
          <w:trHeight w:val="20"/>
        </w:trPr>
        <w:tc>
          <w:tcPr>
            <w:tcW w:w="1658" w:type="dxa"/>
            <w:vMerge/>
            <w:vAlign w:val="center"/>
          </w:tcPr>
          <w:p w14:paraId="2F2C7867" w14:textId="77777777" w:rsidR="009D16BB" w:rsidRPr="0081375C" w:rsidRDefault="009D16BB" w:rsidP="00FD3E82">
            <w:pPr>
              <w:jc w:val="center"/>
            </w:pPr>
          </w:p>
        </w:tc>
        <w:tc>
          <w:tcPr>
            <w:tcW w:w="2778" w:type="dxa"/>
            <w:shd w:val="clear" w:color="auto" w:fill="FFFFFF" w:themeFill="background1"/>
            <w:vAlign w:val="center"/>
          </w:tcPr>
          <w:p w14:paraId="2370F72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Mosaico de cultivos pastos y espacios naturales</w:t>
            </w:r>
          </w:p>
        </w:tc>
        <w:tc>
          <w:tcPr>
            <w:tcW w:w="1159" w:type="dxa"/>
            <w:vMerge/>
            <w:vAlign w:val="center"/>
          </w:tcPr>
          <w:p w14:paraId="6E296C28" w14:textId="77777777" w:rsidR="009D16BB" w:rsidRPr="0081375C" w:rsidRDefault="009D16BB" w:rsidP="00FD3E82">
            <w:pPr>
              <w:jc w:val="center"/>
            </w:pPr>
          </w:p>
        </w:tc>
        <w:tc>
          <w:tcPr>
            <w:tcW w:w="578" w:type="dxa"/>
            <w:shd w:val="clear" w:color="auto" w:fill="FFFFFF" w:themeFill="background1"/>
            <w:vAlign w:val="center"/>
          </w:tcPr>
          <w:p w14:paraId="6205EE5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0A1681F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6D669CA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2911C3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7CA9A809" w14:textId="77777777" w:rsidTr="00FD3E82">
        <w:trPr>
          <w:trHeight w:val="20"/>
        </w:trPr>
        <w:tc>
          <w:tcPr>
            <w:tcW w:w="1658" w:type="dxa"/>
            <w:vMerge/>
            <w:vAlign w:val="center"/>
          </w:tcPr>
          <w:p w14:paraId="14706B51" w14:textId="77777777" w:rsidR="009D16BB" w:rsidRPr="0081375C" w:rsidRDefault="009D16BB" w:rsidP="00FD3E82">
            <w:pPr>
              <w:jc w:val="center"/>
            </w:pPr>
          </w:p>
        </w:tc>
        <w:tc>
          <w:tcPr>
            <w:tcW w:w="2778" w:type="dxa"/>
            <w:shd w:val="clear" w:color="auto" w:fill="FFFFFF" w:themeFill="background1"/>
            <w:vAlign w:val="center"/>
          </w:tcPr>
          <w:p w14:paraId="0F56CC1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Mosaico de cultivos y espacios naturales</w:t>
            </w:r>
          </w:p>
        </w:tc>
        <w:tc>
          <w:tcPr>
            <w:tcW w:w="1159" w:type="dxa"/>
            <w:vMerge/>
            <w:vAlign w:val="center"/>
          </w:tcPr>
          <w:p w14:paraId="279E1C8B" w14:textId="77777777" w:rsidR="009D16BB" w:rsidRPr="0081375C" w:rsidRDefault="009D16BB" w:rsidP="00FD3E82">
            <w:pPr>
              <w:jc w:val="center"/>
            </w:pPr>
          </w:p>
        </w:tc>
        <w:tc>
          <w:tcPr>
            <w:tcW w:w="578" w:type="dxa"/>
            <w:shd w:val="clear" w:color="auto" w:fill="FFFFFF" w:themeFill="background1"/>
            <w:vAlign w:val="center"/>
          </w:tcPr>
          <w:p w14:paraId="49C02FC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1F30285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F595D7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1D662966"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35658605" w14:textId="77777777" w:rsidTr="00FD3E82">
        <w:trPr>
          <w:trHeight w:val="20"/>
        </w:trPr>
        <w:tc>
          <w:tcPr>
            <w:tcW w:w="1658" w:type="dxa"/>
            <w:vMerge/>
            <w:vAlign w:val="center"/>
          </w:tcPr>
          <w:p w14:paraId="634BF769" w14:textId="77777777" w:rsidR="009D16BB" w:rsidRPr="0081375C" w:rsidRDefault="009D16BB" w:rsidP="00FD3E82">
            <w:pPr>
              <w:jc w:val="center"/>
            </w:pPr>
          </w:p>
        </w:tc>
        <w:tc>
          <w:tcPr>
            <w:tcW w:w="2778" w:type="dxa"/>
            <w:shd w:val="clear" w:color="auto" w:fill="FFFFFF" w:themeFill="background1"/>
            <w:vAlign w:val="center"/>
          </w:tcPr>
          <w:p w14:paraId="0F1524E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Mosaico de pastos con espacios naturales</w:t>
            </w:r>
          </w:p>
        </w:tc>
        <w:tc>
          <w:tcPr>
            <w:tcW w:w="1159" w:type="dxa"/>
            <w:vMerge/>
            <w:vAlign w:val="center"/>
          </w:tcPr>
          <w:p w14:paraId="4BF9A979" w14:textId="77777777" w:rsidR="009D16BB" w:rsidRPr="0081375C" w:rsidRDefault="009D16BB" w:rsidP="00FD3E82">
            <w:pPr>
              <w:jc w:val="center"/>
            </w:pPr>
          </w:p>
        </w:tc>
        <w:tc>
          <w:tcPr>
            <w:tcW w:w="578" w:type="dxa"/>
            <w:shd w:val="clear" w:color="auto" w:fill="FFFFFF" w:themeFill="background1"/>
            <w:vAlign w:val="center"/>
          </w:tcPr>
          <w:p w14:paraId="08A4C34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535F225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5E3A6EF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553E885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019AE329" w14:textId="77777777" w:rsidTr="00FD3E82">
        <w:trPr>
          <w:trHeight w:val="20"/>
        </w:trPr>
        <w:tc>
          <w:tcPr>
            <w:tcW w:w="1658" w:type="dxa"/>
            <w:vMerge/>
            <w:vAlign w:val="center"/>
          </w:tcPr>
          <w:p w14:paraId="5E89C9DF" w14:textId="77777777" w:rsidR="009D16BB" w:rsidRPr="0081375C" w:rsidRDefault="009D16BB" w:rsidP="00FD3E82">
            <w:pPr>
              <w:jc w:val="center"/>
            </w:pPr>
          </w:p>
        </w:tc>
        <w:tc>
          <w:tcPr>
            <w:tcW w:w="2778" w:type="dxa"/>
            <w:shd w:val="clear" w:color="auto" w:fill="FFFFFF" w:themeFill="background1"/>
            <w:vAlign w:val="center"/>
          </w:tcPr>
          <w:p w14:paraId="68F2CBE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Mosaico de pastos y cultivos</w:t>
            </w:r>
          </w:p>
        </w:tc>
        <w:tc>
          <w:tcPr>
            <w:tcW w:w="1159" w:type="dxa"/>
            <w:vMerge/>
            <w:vAlign w:val="center"/>
          </w:tcPr>
          <w:p w14:paraId="51F35A0F" w14:textId="77777777" w:rsidR="009D16BB" w:rsidRPr="0081375C" w:rsidRDefault="009D16BB" w:rsidP="00FD3E82">
            <w:pPr>
              <w:jc w:val="center"/>
            </w:pPr>
          </w:p>
        </w:tc>
        <w:tc>
          <w:tcPr>
            <w:tcW w:w="578" w:type="dxa"/>
            <w:shd w:val="clear" w:color="auto" w:fill="FFFFFF" w:themeFill="background1"/>
            <w:vAlign w:val="center"/>
          </w:tcPr>
          <w:p w14:paraId="19BC362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5A92C07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B404AA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6833724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1FDA566C" w14:textId="77777777" w:rsidTr="00FD3E82">
        <w:trPr>
          <w:trHeight w:val="20"/>
        </w:trPr>
        <w:tc>
          <w:tcPr>
            <w:tcW w:w="1658" w:type="dxa"/>
            <w:vMerge/>
            <w:vAlign w:val="center"/>
          </w:tcPr>
          <w:p w14:paraId="210D9681" w14:textId="77777777" w:rsidR="009D16BB" w:rsidRPr="0081375C" w:rsidRDefault="009D16BB" w:rsidP="00FD3E82">
            <w:pPr>
              <w:jc w:val="center"/>
            </w:pPr>
          </w:p>
        </w:tc>
        <w:tc>
          <w:tcPr>
            <w:tcW w:w="2778" w:type="dxa"/>
            <w:shd w:val="clear" w:color="auto" w:fill="FFFFFF" w:themeFill="background1"/>
            <w:vAlign w:val="center"/>
          </w:tcPr>
          <w:p w14:paraId="3F46A23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Pastos arbolados</w:t>
            </w:r>
          </w:p>
        </w:tc>
        <w:tc>
          <w:tcPr>
            <w:tcW w:w="1159" w:type="dxa"/>
            <w:vMerge/>
            <w:vAlign w:val="center"/>
          </w:tcPr>
          <w:p w14:paraId="6ACA5A04" w14:textId="77777777" w:rsidR="009D16BB" w:rsidRPr="0081375C" w:rsidRDefault="009D16BB" w:rsidP="00FD3E82">
            <w:pPr>
              <w:jc w:val="center"/>
            </w:pPr>
          </w:p>
        </w:tc>
        <w:tc>
          <w:tcPr>
            <w:tcW w:w="578" w:type="dxa"/>
            <w:shd w:val="clear" w:color="auto" w:fill="FFFFFF" w:themeFill="background1"/>
            <w:vAlign w:val="center"/>
          </w:tcPr>
          <w:p w14:paraId="31F26B9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7D4E2EF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08D9230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22239D7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334036FE" w14:textId="77777777" w:rsidTr="00FD3E82">
        <w:trPr>
          <w:trHeight w:val="20"/>
        </w:trPr>
        <w:tc>
          <w:tcPr>
            <w:tcW w:w="1658" w:type="dxa"/>
            <w:vMerge/>
            <w:vAlign w:val="center"/>
          </w:tcPr>
          <w:p w14:paraId="3DD2E636" w14:textId="77777777" w:rsidR="009D16BB" w:rsidRPr="0081375C" w:rsidRDefault="009D16BB" w:rsidP="00FD3E82">
            <w:pPr>
              <w:jc w:val="center"/>
            </w:pPr>
          </w:p>
        </w:tc>
        <w:tc>
          <w:tcPr>
            <w:tcW w:w="2778" w:type="dxa"/>
            <w:shd w:val="clear" w:color="auto" w:fill="FFFFFF" w:themeFill="background1"/>
            <w:vAlign w:val="center"/>
          </w:tcPr>
          <w:p w14:paraId="4623FAA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Pastos enmalezados</w:t>
            </w:r>
          </w:p>
        </w:tc>
        <w:tc>
          <w:tcPr>
            <w:tcW w:w="1159" w:type="dxa"/>
            <w:vMerge/>
            <w:vAlign w:val="center"/>
          </w:tcPr>
          <w:p w14:paraId="083762C9" w14:textId="77777777" w:rsidR="009D16BB" w:rsidRPr="0081375C" w:rsidRDefault="009D16BB" w:rsidP="00FD3E82">
            <w:pPr>
              <w:jc w:val="center"/>
            </w:pPr>
          </w:p>
        </w:tc>
        <w:tc>
          <w:tcPr>
            <w:tcW w:w="578" w:type="dxa"/>
            <w:shd w:val="clear" w:color="auto" w:fill="FFFFFF" w:themeFill="background1"/>
            <w:vAlign w:val="center"/>
          </w:tcPr>
          <w:p w14:paraId="5A361BF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00FEE86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1BB1ADB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2776EB9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4B2C5DBE" w14:textId="77777777" w:rsidTr="00FD3E82">
        <w:trPr>
          <w:trHeight w:val="20"/>
        </w:trPr>
        <w:tc>
          <w:tcPr>
            <w:tcW w:w="1658" w:type="dxa"/>
            <w:vMerge/>
            <w:vAlign w:val="center"/>
          </w:tcPr>
          <w:p w14:paraId="1A40488C" w14:textId="77777777" w:rsidR="009D16BB" w:rsidRPr="0081375C" w:rsidRDefault="009D16BB" w:rsidP="00FD3E82">
            <w:pPr>
              <w:jc w:val="center"/>
            </w:pPr>
          </w:p>
        </w:tc>
        <w:tc>
          <w:tcPr>
            <w:tcW w:w="2778" w:type="dxa"/>
            <w:shd w:val="clear" w:color="auto" w:fill="FFFFFF" w:themeFill="background1"/>
            <w:vAlign w:val="center"/>
          </w:tcPr>
          <w:p w14:paraId="1D262A3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Pastos limpios</w:t>
            </w:r>
          </w:p>
        </w:tc>
        <w:tc>
          <w:tcPr>
            <w:tcW w:w="1159" w:type="dxa"/>
            <w:vMerge/>
            <w:vAlign w:val="center"/>
          </w:tcPr>
          <w:p w14:paraId="15FEB871" w14:textId="77777777" w:rsidR="009D16BB" w:rsidRPr="0081375C" w:rsidRDefault="009D16BB" w:rsidP="00FD3E82">
            <w:pPr>
              <w:jc w:val="center"/>
            </w:pPr>
          </w:p>
        </w:tc>
        <w:tc>
          <w:tcPr>
            <w:tcW w:w="578" w:type="dxa"/>
            <w:shd w:val="clear" w:color="auto" w:fill="FFFFFF" w:themeFill="background1"/>
            <w:vAlign w:val="center"/>
          </w:tcPr>
          <w:p w14:paraId="3B908A9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2E8E2D0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27E8CD4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55919C4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6EE46CD1" w14:textId="77777777" w:rsidTr="00FD3E82">
        <w:trPr>
          <w:trHeight w:val="20"/>
        </w:trPr>
        <w:tc>
          <w:tcPr>
            <w:tcW w:w="1658" w:type="dxa"/>
            <w:shd w:val="clear" w:color="auto" w:fill="FFFFFF" w:themeFill="background1"/>
            <w:vAlign w:val="center"/>
          </w:tcPr>
          <w:p w14:paraId="10B2F51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Zonas verdes urbanas</w:t>
            </w:r>
          </w:p>
        </w:tc>
        <w:tc>
          <w:tcPr>
            <w:tcW w:w="2778" w:type="dxa"/>
            <w:shd w:val="clear" w:color="auto" w:fill="FFFFFF" w:themeFill="background1"/>
            <w:vAlign w:val="center"/>
          </w:tcPr>
          <w:p w14:paraId="7327E55C"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Zonas verdes urbanas</w:t>
            </w:r>
          </w:p>
        </w:tc>
        <w:tc>
          <w:tcPr>
            <w:tcW w:w="1159" w:type="dxa"/>
            <w:shd w:val="clear" w:color="auto" w:fill="FFFFFF" w:themeFill="background1"/>
            <w:vAlign w:val="center"/>
          </w:tcPr>
          <w:p w14:paraId="796336A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578" w:type="dxa"/>
            <w:shd w:val="clear" w:color="auto" w:fill="FFFFFF" w:themeFill="background1"/>
            <w:vAlign w:val="center"/>
          </w:tcPr>
          <w:p w14:paraId="4AB7C65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1AF5D47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6E9374E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082F60A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6BB9E0DD" w14:textId="77777777" w:rsidTr="00FD3E82">
        <w:trPr>
          <w:trHeight w:val="20"/>
        </w:trPr>
        <w:tc>
          <w:tcPr>
            <w:tcW w:w="1658" w:type="dxa"/>
            <w:vMerge w:val="restart"/>
            <w:shd w:val="clear" w:color="auto" w:fill="FFFFFF" w:themeFill="background1"/>
            <w:vAlign w:val="center"/>
          </w:tcPr>
          <w:p w14:paraId="0D0B540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Territorios artificializados y áreas sin vegetación</w:t>
            </w:r>
          </w:p>
        </w:tc>
        <w:tc>
          <w:tcPr>
            <w:tcW w:w="2778" w:type="dxa"/>
            <w:shd w:val="clear" w:color="auto" w:fill="FFFFFF" w:themeFill="background1"/>
            <w:vAlign w:val="center"/>
          </w:tcPr>
          <w:p w14:paraId="2DE5B4F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Afloramientos rocosos</w:t>
            </w:r>
          </w:p>
        </w:tc>
        <w:tc>
          <w:tcPr>
            <w:tcW w:w="1159" w:type="dxa"/>
            <w:vMerge w:val="restart"/>
            <w:shd w:val="clear" w:color="auto" w:fill="FFFFFF" w:themeFill="background1"/>
            <w:vAlign w:val="center"/>
          </w:tcPr>
          <w:p w14:paraId="5C0D147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578" w:type="dxa"/>
            <w:shd w:val="clear" w:color="auto" w:fill="FFFFFF" w:themeFill="background1"/>
            <w:vAlign w:val="center"/>
          </w:tcPr>
          <w:p w14:paraId="7CAC12A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5F8DC5E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23E2D2E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0DE15F9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5FDBA381" w14:textId="77777777" w:rsidTr="00FD3E82">
        <w:trPr>
          <w:trHeight w:val="20"/>
        </w:trPr>
        <w:tc>
          <w:tcPr>
            <w:tcW w:w="1658" w:type="dxa"/>
            <w:vMerge/>
            <w:vAlign w:val="center"/>
          </w:tcPr>
          <w:p w14:paraId="6DEFA222" w14:textId="77777777" w:rsidR="009D16BB" w:rsidRPr="0081375C" w:rsidRDefault="009D16BB" w:rsidP="00FD3E82">
            <w:pPr>
              <w:jc w:val="center"/>
            </w:pPr>
          </w:p>
        </w:tc>
        <w:tc>
          <w:tcPr>
            <w:tcW w:w="2778" w:type="dxa"/>
            <w:shd w:val="clear" w:color="auto" w:fill="FFFFFF" w:themeFill="background1"/>
            <w:vAlign w:val="center"/>
          </w:tcPr>
          <w:p w14:paraId="608447A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Red vial ferroviaria y terrenos asociados</w:t>
            </w:r>
          </w:p>
        </w:tc>
        <w:tc>
          <w:tcPr>
            <w:tcW w:w="1159" w:type="dxa"/>
            <w:vMerge/>
            <w:vAlign w:val="center"/>
          </w:tcPr>
          <w:p w14:paraId="51E94F23" w14:textId="77777777" w:rsidR="009D16BB" w:rsidRPr="0081375C" w:rsidRDefault="009D16BB" w:rsidP="00FD3E82">
            <w:pPr>
              <w:jc w:val="center"/>
            </w:pPr>
          </w:p>
        </w:tc>
        <w:tc>
          <w:tcPr>
            <w:tcW w:w="578" w:type="dxa"/>
            <w:shd w:val="clear" w:color="auto" w:fill="FFFFFF" w:themeFill="background1"/>
            <w:vAlign w:val="center"/>
          </w:tcPr>
          <w:p w14:paraId="1B3C22B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67C89F2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0B60B3C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5B21830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14A7B8A5" w14:textId="77777777" w:rsidTr="00FD3E82">
        <w:trPr>
          <w:trHeight w:val="20"/>
        </w:trPr>
        <w:tc>
          <w:tcPr>
            <w:tcW w:w="1658" w:type="dxa"/>
            <w:vMerge/>
            <w:vAlign w:val="center"/>
          </w:tcPr>
          <w:p w14:paraId="3D08BB71" w14:textId="77777777" w:rsidR="009D16BB" w:rsidRPr="0081375C" w:rsidRDefault="009D16BB" w:rsidP="00FD3E82">
            <w:pPr>
              <w:jc w:val="center"/>
            </w:pPr>
          </w:p>
        </w:tc>
        <w:tc>
          <w:tcPr>
            <w:tcW w:w="2778" w:type="dxa"/>
            <w:shd w:val="clear" w:color="auto" w:fill="FFFFFF" w:themeFill="background1"/>
            <w:vAlign w:val="center"/>
          </w:tcPr>
          <w:p w14:paraId="56A7684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Ríos (50 m)</w:t>
            </w:r>
          </w:p>
        </w:tc>
        <w:tc>
          <w:tcPr>
            <w:tcW w:w="1159" w:type="dxa"/>
            <w:vMerge/>
            <w:vAlign w:val="center"/>
          </w:tcPr>
          <w:p w14:paraId="4968DE9B" w14:textId="77777777" w:rsidR="009D16BB" w:rsidRPr="0081375C" w:rsidRDefault="009D16BB" w:rsidP="00FD3E82">
            <w:pPr>
              <w:jc w:val="center"/>
            </w:pPr>
          </w:p>
        </w:tc>
        <w:tc>
          <w:tcPr>
            <w:tcW w:w="578" w:type="dxa"/>
            <w:shd w:val="clear" w:color="auto" w:fill="FFFFFF" w:themeFill="background1"/>
            <w:vAlign w:val="center"/>
          </w:tcPr>
          <w:p w14:paraId="6F66AC1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06F45F8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0249D49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515504C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7D817430" w14:textId="77777777" w:rsidTr="00FD3E82">
        <w:trPr>
          <w:trHeight w:val="20"/>
        </w:trPr>
        <w:tc>
          <w:tcPr>
            <w:tcW w:w="1658" w:type="dxa"/>
            <w:vMerge/>
            <w:vAlign w:val="center"/>
          </w:tcPr>
          <w:p w14:paraId="11CD9CEC" w14:textId="77777777" w:rsidR="009D16BB" w:rsidRPr="0081375C" w:rsidRDefault="009D16BB" w:rsidP="00FD3E82">
            <w:pPr>
              <w:jc w:val="center"/>
            </w:pPr>
          </w:p>
        </w:tc>
        <w:tc>
          <w:tcPr>
            <w:tcW w:w="2778" w:type="dxa"/>
            <w:shd w:val="clear" w:color="auto" w:fill="FFFFFF" w:themeFill="background1"/>
            <w:vAlign w:val="center"/>
          </w:tcPr>
          <w:p w14:paraId="37C26F6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Tejido urbano continuo</w:t>
            </w:r>
          </w:p>
        </w:tc>
        <w:tc>
          <w:tcPr>
            <w:tcW w:w="1159" w:type="dxa"/>
            <w:vMerge/>
            <w:vAlign w:val="center"/>
          </w:tcPr>
          <w:p w14:paraId="074C1606" w14:textId="77777777" w:rsidR="009D16BB" w:rsidRPr="0081375C" w:rsidRDefault="009D16BB" w:rsidP="00FD3E82">
            <w:pPr>
              <w:jc w:val="center"/>
            </w:pPr>
          </w:p>
        </w:tc>
        <w:tc>
          <w:tcPr>
            <w:tcW w:w="578" w:type="dxa"/>
            <w:shd w:val="clear" w:color="auto" w:fill="FFFFFF" w:themeFill="background1"/>
            <w:vAlign w:val="center"/>
          </w:tcPr>
          <w:p w14:paraId="4180A6D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47E1F515"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6D99CA4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687D984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44FD71A8" w14:textId="77777777" w:rsidTr="00FD3E82">
        <w:trPr>
          <w:trHeight w:val="20"/>
        </w:trPr>
        <w:tc>
          <w:tcPr>
            <w:tcW w:w="1658" w:type="dxa"/>
            <w:vMerge/>
            <w:vAlign w:val="center"/>
          </w:tcPr>
          <w:p w14:paraId="45AC77DC" w14:textId="77777777" w:rsidR="009D16BB" w:rsidRPr="0081375C" w:rsidRDefault="009D16BB" w:rsidP="00FD3E82">
            <w:pPr>
              <w:jc w:val="center"/>
            </w:pPr>
          </w:p>
        </w:tc>
        <w:tc>
          <w:tcPr>
            <w:tcW w:w="2778" w:type="dxa"/>
            <w:shd w:val="clear" w:color="auto" w:fill="FFFFFF" w:themeFill="background1"/>
            <w:vAlign w:val="center"/>
          </w:tcPr>
          <w:p w14:paraId="212F6D1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Tejido urbano discontinuo</w:t>
            </w:r>
          </w:p>
        </w:tc>
        <w:tc>
          <w:tcPr>
            <w:tcW w:w="1159" w:type="dxa"/>
            <w:vMerge/>
            <w:vAlign w:val="center"/>
          </w:tcPr>
          <w:p w14:paraId="527DCA3A" w14:textId="77777777" w:rsidR="009D16BB" w:rsidRPr="0081375C" w:rsidRDefault="009D16BB" w:rsidP="00FD3E82">
            <w:pPr>
              <w:jc w:val="center"/>
            </w:pPr>
          </w:p>
        </w:tc>
        <w:tc>
          <w:tcPr>
            <w:tcW w:w="578" w:type="dxa"/>
            <w:shd w:val="clear" w:color="auto" w:fill="FFFFFF" w:themeFill="background1"/>
            <w:vAlign w:val="center"/>
          </w:tcPr>
          <w:p w14:paraId="56F9CB5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1150332E"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50FAA2D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210A8A35"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7FE158E9" w14:textId="77777777" w:rsidTr="00FD3E82">
        <w:trPr>
          <w:trHeight w:val="20"/>
        </w:trPr>
        <w:tc>
          <w:tcPr>
            <w:tcW w:w="1658" w:type="dxa"/>
            <w:vMerge/>
            <w:vAlign w:val="center"/>
          </w:tcPr>
          <w:p w14:paraId="102A2BE9" w14:textId="77777777" w:rsidR="009D16BB" w:rsidRPr="0081375C" w:rsidRDefault="009D16BB" w:rsidP="00FD3E82">
            <w:pPr>
              <w:jc w:val="center"/>
            </w:pPr>
          </w:p>
        </w:tc>
        <w:tc>
          <w:tcPr>
            <w:tcW w:w="2778" w:type="dxa"/>
            <w:shd w:val="clear" w:color="auto" w:fill="FFFFFF" w:themeFill="background1"/>
            <w:vAlign w:val="center"/>
          </w:tcPr>
          <w:p w14:paraId="6058E08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Tierras desnudas y degradadas</w:t>
            </w:r>
          </w:p>
        </w:tc>
        <w:tc>
          <w:tcPr>
            <w:tcW w:w="1159" w:type="dxa"/>
            <w:vMerge/>
            <w:vAlign w:val="center"/>
          </w:tcPr>
          <w:p w14:paraId="466F1BD4" w14:textId="77777777" w:rsidR="009D16BB" w:rsidRPr="0081375C" w:rsidRDefault="009D16BB" w:rsidP="00FD3E82">
            <w:pPr>
              <w:jc w:val="center"/>
            </w:pPr>
          </w:p>
        </w:tc>
        <w:tc>
          <w:tcPr>
            <w:tcW w:w="578" w:type="dxa"/>
            <w:shd w:val="clear" w:color="auto" w:fill="FFFFFF" w:themeFill="background1"/>
            <w:vAlign w:val="center"/>
          </w:tcPr>
          <w:p w14:paraId="37DB6BD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36A4DFD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0AAE2F6"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877014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5B8032A8" w14:textId="77777777" w:rsidTr="00FD3E82">
        <w:trPr>
          <w:trHeight w:val="20"/>
        </w:trPr>
        <w:tc>
          <w:tcPr>
            <w:tcW w:w="1658" w:type="dxa"/>
            <w:vMerge/>
            <w:vAlign w:val="center"/>
          </w:tcPr>
          <w:p w14:paraId="1843CE07" w14:textId="77777777" w:rsidR="009D16BB" w:rsidRPr="0081375C" w:rsidRDefault="009D16BB" w:rsidP="00FD3E82">
            <w:pPr>
              <w:jc w:val="center"/>
            </w:pPr>
          </w:p>
        </w:tc>
        <w:tc>
          <w:tcPr>
            <w:tcW w:w="2778" w:type="dxa"/>
            <w:shd w:val="clear" w:color="auto" w:fill="FFFFFF" w:themeFill="background1"/>
            <w:vAlign w:val="center"/>
          </w:tcPr>
          <w:p w14:paraId="202FD643"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Zonas de extracción minera</w:t>
            </w:r>
          </w:p>
        </w:tc>
        <w:tc>
          <w:tcPr>
            <w:tcW w:w="1159" w:type="dxa"/>
            <w:vMerge/>
            <w:vAlign w:val="center"/>
          </w:tcPr>
          <w:p w14:paraId="5E05C003" w14:textId="77777777" w:rsidR="009D16BB" w:rsidRPr="0081375C" w:rsidRDefault="009D16BB" w:rsidP="00FD3E82">
            <w:pPr>
              <w:jc w:val="center"/>
            </w:pPr>
          </w:p>
        </w:tc>
        <w:tc>
          <w:tcPr>
            <w:tcW w:w="578" w:type="dxa"/>
            <w:shd w:val="clear" w:color="auto" w:fill="FFFFFF" w:themeFill="background1"/>
            <w:vAlign w:val="center"/>
          </w:tcPr>
          <w:p w14:paraId="1ABD7C2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7421A60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1557905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7298C01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72CF64F6" w14:textId="77777777" w:rsidTr="00FD3E82">
        <w:trPr>
          <w:trHeight w:val="20"/>
        </w:trPr>
        <w:tc>
          <w:tcPr>
            <w:tcW w:w="1658" w:type="dxa"/>
            <w:vMerge/>
            <w:vAlign w:val="center"/>
          </w:tcPr>
          <w:p w14:paraId="2A9BFD22" w14:textId="77777777" w:rsidR="009D16BB" w:rsidRPr="0081375C" w:rsidRDefault="009D16BB" w:rsidP="00FD3E82">
            <w:pPr>
              <w:jc w:val="center"/>
            </w:pPr>
          </w:p>
        </w:tc>
        <w:tc>
          <w:tcPr>
            <w:tcW w:w="2778" w:type="dxa"/>
            <w:shd w:val="clear" w:color="auto" w:fill="FFFFFF" w:themeFill="background1"/>
            <w:vAlign w:val="center"/>
          </w:tcPr>
          <w:p w14:paraId="388532AB"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Zonas industriales o comerciales</w:t>
            </w:r>
          </w:p>
        </w:tc>
        <w:tc>
          <w:tcPr>
            <w:tcW w:w="1159" w:type="dxa"/>
            <w:vMerge/>
            <w:vAlign w:val="center"/>
          </w:tcPr>
          <w:p w14:paraId="518B4EE5" w14:textId="77777777" w:rsidR="009D16BB" w:rsidRPr="0081375C" w:rsidRDefault="009D16BB" w:rsidP="00FD3E82">
            <w:pPr>
              <w:jc w:val="center"/>
            </w:pPr>
          </w:p>
        </w:tc>
        <w:tc>
          <w:tcPr>
            <w:tcW w:w="578" w:type="dxa"/>
            <w:shd w:val="clear" w:color="auto" w:fill="FFFFFF" w:themeFill="background1"/>
            <w:vAlign w:val="center"/>
          </w:tcPr>
          <w:p w14:paraId="444B86D1"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0ACE14C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463374F2"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00FB2B7"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46CD1E61" w14:textId="77777777" w:rsidTr="00FD3E82">
        <w:trPr>
          <w:trHeight w:val="20"/>
        </w:trPr>
        <w:tc>
          <w:tcPr>
            <w:tcW w:w="1658" w:type="dxa"/>
            <w:vMerge/>
            <w:vAlign w:val="center"/>
          </w:tcPr>
          <w:p w14:paraId="59D2CE1F" w14:textId="77777777" w:rsidR="009D16BB" w:rsidRPr="0081375C" w:rsidRDefault="009D16BB" w:rsidP="00FD3E82">
            <w:pPr>
              <w:jc w:val="center"/>
            </w:pPr>
          </w:p>
        </w:tc>
        <w:tc>
          <w:tcPr>
            <w:tcW w:w="2778" w:type="dxa"/>
            <w:shd w:val="clear" w:color="auto" w:fill="FFFFFF" w:themeFill="background1"/>
            <w:vAlign w:val="center"/>
          </w:tcPr>
          <w:p w14:paraId="2E3B0964"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Zonas quemadas</w:t>
            </w:r>
          </w:p>
        </w:tc>
        <w:tc>
          <w:tcPr>
            <w:tcW w:w="1159" w:type="dxa"/>
            <w:vMerge/>
            <w:vAlign w:val="center"/>
          </w:tcPr>
          <w:p w14:paraId="1E4A3CC2" w14:textId="77777777" w:rsidR="009D16BB" w:rsidRPr="0081375C" w:rsidRDefault="009D16BB" w:rsidP="00FD3E82">
            <w:pPr>
              <w:jc w:val="center"/>
            </w:pPr>
          </w:p>
        </w:tc>
        <w:tc>
          <w:tcPr>
            <w:tcW w:w="578" w:type="dxa"/>
            <w:shd w:val="clear" w:color="auto" w:fill="FFFFFF" w:themeFill="background1"/>
            <w:vAlign w:val="center"/>
          </w:tcPr>
          <w:p w14:paraId="19E8E9DD"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c>
          <w:tcPr>
            <w:tcW w:w="942" w:type="dxa"/>
            <w:shd w:val="clear" w:color="auto" w:fill="FFFFFF" w:themeFill="background1"/>
            <w:vAlign w:val="center"/>
          </w:tcPr>
          <w:p w14:paraId="4535FFA0"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2</w:t>
            </w:r>
          </w:p>
        </w:tc>
        <w:tc>
          <w:tcPr>
            <w:tcW w:w="942" w:type="dxa"/>
            <w:shd w:val="clear" w:color="auto" w:fill="FFFFFF" w:themeFill="background1"/>
            <w:vAlign w:val="center"/>
          </w:tcPr>
          <w:p w14:paraId="7440912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3</w:t>
            </w:r>
          </w:p>
        </w:tc>
        <w:tc>
          <w:tcPr>
            <w:tcW w:w="579" w:type="dxa"/>
            <w:shd w:val="clear" w:color="auto" w:fill="FFFFFF" w:themeFill="background1"/>
            <w:vAlign w:val="center"/>
          </w:tcPr>
          <w:p w14:paraId="46705EF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w:t>
            </w:r>
          </w:p>
        </w:tc>
      </w:tr>
    </w:tbl>
    <w:p w14:paraId="5166BFC2" w14:textId="77777777" w:rsidR="7670D8C4" w:rsidRPr="0081375C" w:rsidRDefault="7670D8C4" w:rsidP="7670D8C4">
      <w:pPr>
        <w:spacing w:line="23" w:lineRule="atLeast"/>
        <w:jc w:val="both"/>
        <w:rPr>
          <w:rFonts w:ascii="Arial" w:eastAsia="Aptos" w:hAnsi="Arial" w:cs="Arial"/>
          <w:color w:val="000000" w:themeColor="text1"/>
        </w:rPr>
      </w:pPr>
    </w:p>
    <w:p w14:paraId="5C19C0C9" w14:textId="31003308" w:rsidR="5019CF5E" w:rsidRPr="0081375C" w:rsidRDefault="031328A6" w:rsidP="7670D8C4">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C3. Dinámica de la </w:t>
      </w:r>
      <w:r w:rsidR="74711FFD" w:rsidRPr="0081375C">
        <w:rPr>
          <w:rFonts w:ascii="Arial" w:eastAsia="Aptos" w:hAnsi="Arial" w:cs="Arial"/>
          <w:b/>
          <w:bCs/>
          <w:color w:val="000000" w:themeColor="text1"/>
        </w:rPr>
        <w:t>V</w:t>
      </w:r>
      <w:r w:rsidRPr="0081375C">
        <w:rPr>
          <w:rFonts w:ascii="Arial" w:eastAsia="Aptos" w:hAnsi="Arial" w:cs="Arial"/>
          <w:b/>
          <w:bCs/>
          <w:color w:val="000000" w:themeColor="text1"/>
        </w:rPr>
        <w:t>egetación (7,51%):</w:t>
      </w:r>
    </w:p>
    <w:p w14:paraId="126D329D" w14:textId="77777777" w:rsidR="7670D8C4" w:rsidRPr="0081375C" w:rsidRDefault="7670D8C4" w:rsidP="7670D8C4">
      <w:pPr>
        <w:spacing w:line="23" w:lineRule="atLeast"/>
        <w:jc w:val="both"/>
        <w:rPr>
          <w:rFonts w:ascii="Arial" w:eastAsia="Aptos" w:hAnsi="Arial" w:cs="Arial"/>
          <w:color w:val="000000" w:themeColor="text1"/>
        </w:rPr>
      </w:pPr>
    </w:p>
    <w:p w14:paraId="5724B571"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Este criterio permite evaluar la transformación del territorio a partir de la dinámica temporal de la vegetación, utilizando como insumo principal el análisis multitemporal del NDVI entre los años 2017 y 2024. A partir de imágenes satelitales Sentinel, se identifican </w:t>
      </w:r>
      <w:r w:rsidRPr="0081375C">
        <w:rPr>
          <w:rFonts w:ascii="Arial" w:eastAsia="Aptos" w:hAnsi="Arial" w:cs="Arial"/>
          <w:color w:val="000000" w:themeColor="text1"/>
        </w:rPr>
        <w:lastRenderedPageBreak/>
        <w:t xml:space="preserve">cambios en la cobertura vegetal mediante la clasificación de áreas con pérdida, ganancia o sin cambio de vegetación, lo que permite reconocer sectores con mayor estabilidad ecológica, procesos de recuperación o evidencias de deterioro. En este contexto, la pérdida de vegetación se interpreta como la disminución o remoción de la cobertura vegetal y constituye la base para estimar la tasa de deforestación o pérdida de cobertura, entendida como una medida de la magnitud e intensidad del cambio ocurrido en el tiempo. </w:t>
      </w:r>
    </w:p>
    <w:p w14:paraId="04A9C486" w14:textId="77777777" w:rsidR="7670D8C4" w:rsidRPr="0081375C" w:rsidRDefault="7670D8C4" w:rsidP="7670D8C4">
      <w:pPr>
        <w:spacing w:line="23" w:lineRule="atLeast"/>
        <w:jc w:val="both"/>
        <w:rPr>
          <w:rFonts w:ascii="Arial" w:eastAsia="Aptos" w:hAnsi="Arial" w:cs="Arial"/>
          <w:color w:val="000000" w:themeColor="text1"/>
        </w:rPr>
      </w:pPr>
    </w:p>
    <w:p w14:paraId="2EBA24B8"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Por su parte, la ganancia de vegetación no debe entenderse necesariamente como un aumento en la extensión de la cobertura, sino como una mejora o recuperación de la vegetación en términos de biomasa aérea, expresada en cambios positivos en el vigor, densidad o desarrollo de los árboles ya existentes. Su interpretación depende de la modalidad del PSA Biodiversidad: en conservación, permite priorizar áreas con baja transformación, estabilidad de la cobertura y condiciones favorables para mantener sus atributos ecológicos; mientras que, en restauración, orienta la identificación de zonas con pérdida o deterioro que aún conservan potencial de recuperación. De esta manera, la dinámica de la vegetación aporta información clave para orientar acciones de conservación, restauración y prevención de la transformación de las coberturas naturales en el Distrito de Medellín.</w:t>
      </w:r>
    </w:p>
    <w:p w14:paraId="426F13DA" w14:textId="77777777" w:rsidR="7670D8C4" w:rsidRPr="0081375C" w:rsidRDefault="7670D8C4" w:rsidP="7670D8C4">
      <w:pPr>
        <w:spacing w:line="23" w:lineRule="atLeast"/>
        <w:jc w:val="both"/>
        <w:rPr>
          <w:rFonts w:ascii="Arial" w:eastAsia="Aptos" w:hAnsi="Arial" w:cs="Arial"/>
          <w:color w:val="000000" w:themeColor="text1"/>
        </w:rPr>
      </w:pPr>
    </w:p>
    <w:p w14:paraId="14346714" w14:textId="4A05BC4E" w:rsidR="5019CF5E" w:rsidRPr="0081375C" w:rsidRDefault="5019CF5E" w:rsidP="7670D8C4">
      <w:pPr>
        <w:spacing w:line="23" w:lineRule="atLeast"/>
        <w:jc w:val="both"/>
        <w:rPr>
          <w:rFonts w:ascii="Arial" w:hAnsi="Arial" w:cs="Arial"/>
          <w:b/>
          <w:bCs/>
          <w:color w:val="000000" w:themeColor="text1"/>
          <w:sz w:val="20"/>
          <w:szCs w:val="20"/>
        </w:rPr>
      </w:pPr>
      <w:bookmarkStart w:id="31" w:name="_Toc233040655"/>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7</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Variables de Criterio 3 Dinámica de la vegetación</w:t>
      </w:r>
      <w:bookmarkEnd w:id="31"/>
      <w:r w:rsidRPr="0081375C">
        <w:rPr>
          <w:rFonts w:ascii="Arial" w:hAnsi="Arial" w:cs="Arial"/>
          <w:b/>
          <w:bCs/>
          <w:color w:val="000000" w:themeColor="text1"/>
          <w:sz w:val="20"/>
          <w:szCs w:val="20"/>
        </w:rPr>
        <w:t xml:space="preserve"> </w:t>
      </w:r>
    </w:p>
    <w:tbl>
      <w:tblPr>
        <w:tblW w:w="0" w:type="auto"/>
        <w:tblLook w:val="0600" w:firstRow="0" w:lastRow="0" w:firstColumn="0" w:lastColumn="0" w:noHBand="1" w:noVBand="1"/>
      </w:tblPr>
      <w:tblGrid>
        <w:gridCol w:w="6232"/>
        <w:gridCol w:w="2394"/>
      </w:tblGrid>
      <w:tr w:rsidR="7670D8C4" w:rsidRPr="0081375C" w14:paraId="1D547FFF" w14:textId="77777777" w:rsidTr="002B5538">
        <w:trPr>
          <w:trHeight w:val="20"/>
          <w:tblHeader/>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868276"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Variable</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E50FE1" w14:textId="77777777" w:rsidR="7670D8C4" w:rsidRPr="0081375C" w:rsidRDefault="7670D8C4" w:rsidP="00FD3E82">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Puntaje</w:t>
            </w:r>
          </w:p>
        </w:tc>
      </w:tr>
      <w:tr w:rsidR="7670D8C4" w:rsidRPr="0081375C" w14:paraId="32C55577" w14:textId="77777777" w:rsidTr="002B5538">
        <w:trPr>
          <w:trHeight w:val="2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0DD53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Ganancia de vegetación o coberturas sin cambio en el tiempo, sin evidencia relevante de pérdida de cobertura</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A2B09A"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15</w:t>
            </w:r>
          </w:p>
        </w:tc>
      </w:tr>
      <w:tr w:rsidR="7670D8C4" w:rsidRPr="0081375C" w14:paraId="32D7E4AA" w14:textId="77777777" w:rsidTr="002B5538">
        <w:trPr>
          <w:trHeight w:val="2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1291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Cobertura estable o con </w:t>
            </w:r>
            <w:proofErr w:type="gramStart"/>
            <w:r w:rsidRPr="0081375C">
              <w:rPr>
                <w:rFonts w:ascii="Arial" w:eastAsia="Arial" w:hAnsi="Arial" w:cs="Arial"/>
                <w:color w:val="000000" w:themeColor="text1"/>
                <w:sz w:val="20"/>
                <w:szCs w:val="20"/>
              </w:rPr>
              <w:t>baja pérdida y baja tasa</w:t>
            </w:r>
            <w:proofErr w:type="gramEnd"/>
            <w:r w:rsidRPr="0081375C">
              <w:rPr>
                <w:rFonts w:ascii="Arial" w:eastAsia="Arial" w:hAnsi="Arial" w:cs="Arial"/>
                <w:color w:val="000000" w:themeColor="text1"/>
                <w:sz w:val="20"/>
                <w:szCs w:val="20"/>
              </w:rPr>
              <w:t xml:space="preserve"> de pérdida de cobertura vegetal</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1471E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7</w:t>
            </w:r>
          </w:p>
        </w:tc>
      </w:tr>
      <w:tr w:rsidR="7670D8C4" w:rsidRPr="0081375C" w14:paraId="30B1F18E" w14:textId="77777777" w:rsidTr="002B5538">
        <w:trPr>
          <w:trHeight w:val="2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E8C2D9"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Pérdida de vegetación y alta tasa de pérdida de cobertura vegetal</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1DFE7F"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1</w:t>
            </w:r>
          </w:p>
        </w:tc>
      </w:tr>
    </w:tbl>
    <w:p w14:paraId="558EB4CC" w14:textId="77777777" w:rsidR="7670D8C4" w:rsidRPr="0081375C" w:rsidRDefault="7670D8C4" w:rsidP="7670D8C4">
      <w:pPr>
        <w:spacing w:line="23" w:lineRule="atLeast"/>
        <w:jc w:val="both"/>
        <w:rPr>
          <w:rFonts w:ascii="Arial" w:eastAsia="Aptos" w:hAnsi="Arial" w:cs="Arial"/>
          <w:color w:val="000000" w:themeColor="text1"/>
        </w:rPr>
      </w:pPr>
    </w:p>
    <w:p w14:paraId="431E63EF"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La interpretación de las categorías debe ajustarse al tipo de intervención PSA. En esquemas orientados a restauración, las áreas con pérdida activa y potencial de recuperación ecológica requieren lectura complementaria junto con C2 y C4.</w:t>
      </w:r>
    </w:p>
    <w:p w14:paraId="73C65ADD" w14:textId="77777777" w:rsidR="7670D8C4" w:rsidRPr="0081375C" w:rsidRDefault="7670D8C4" w:rsidP="7670D8C4">
      <w:pPr>
        <w:spacing w:line="23" w:lineRule="atLeast"/>
        <w:jc w:val="both"/>
        <w:rPr>
          <w:rFonts w:ascii="Arial" w:eastAsia="Aptos" w:hAnsi="Arial" w:cs="Arial"/>
          <w:color w:val="000000" w:themeColor="text1"/>
        </w:rPr>
      </w:pPr>
    </w:p>
    <w:p w14:paraId="1D5AB1BD" w14:textId="77777777" w:rsidR="5019CF5E" w:rsidRPr="0081375C" w:rsidRDefault="5019CF5E" w:rsidP="7670D8C4">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C4. Biodiversidad (48,88%):</w:t>
      </w:r>
    </w:p>
    <w:p w14:paraId="3710D518" w14:textId="77777777" w:rsidR="7670D8C4" w:rsidRPr="0081375C" w:rsidRDefault="7670D8C4" w:rsidP="7670D8C4">
      <w:pPr>
        <w:spacing w:line="23" w:lineRule="atLeast"/>
        <w:jc w:val="both"/>
        <w:rPr>
          <w:rFonts w:ascii="Arial" w:eastAsia="Aptos" w:hAnsi="Arial" w:cs="Arial"/>
          <w:color w:val="000000" w:themeColor="text1"/>
        </w:rPr>
      </w:pPr>
    </w:p>
    <w:p w14:paraId="279382B7" w14:textId="444F905D"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Este criterio evalúa la importancia ecológica del territorio a partir de su contribución potencial al mantenimiento de la riqueza de especies, el recambio en la composición biológica, la representatividad ecológica y la idoneidad de hábitat para especies de interés para la conservación. Para ello, integra información biológica obtenida mediante muestreos de campo con registros disponibles en la plataforma GBIF</w:t>
      </w:r>
      <w:r w:rsidR="009569B5" w:rsidRPr="0081375C">
        <w:rPr>
          <w:rFonts w:ascii="Arial" w:eastAsia="Aptos" w:hAnsi="Arial" w:cs="Arial"/>
          <w:color w:val="000000" w:themeColor="text1"/>
        </w:rPr>
        <w:t xml:space="preserve"> (</w:t>
      </w:r>
      <w:r w:rsidR="009569B5" w:rsidRPr="0081375C">
        <w:rPr>
          <w:rFonts w:ascii="Arial" w:eastAsia="Aptos" w:hAnsi="Arial" w:cs="Arial"/>
          <w:i/>
          <w:iCs/>
          <w:color w:val="000000" w:themeColor="text1"/>
        </w:rPr>
        <w:t xml:space="preserve">Global </w:t>
      </w:r>
      <w:proofErr w:type="spellStart"/>
      <w:r w:rsidR="009569B5" w:rsidRPr="0081375C">
        <w:rPr>
          <w:rFonts w:ascii="Arial" w:eastAsia="Aptos" w:hAnsi="Arial" w:cs="Arial"/>
          <w:i/>
          <w:iCs/>
          <w:color w:val="000000" w:themeColor="text1"/>
        </w:rPr>
        <w:t>Biodiversity</w:t>
      </w:r>
      <w:proofErr w:type="spellEnd"/>
      <w:r w:rsidR="009569B5" w:rsidRPr="0081375C">
        <w:rPr>
          <w:rFonts w:ascii="Arial" w:eastAsia="Aptos" w:hAnsi="Arial" w:cs="Arial"/>
          <w:i/>
          <w:iCs/>
          <w:color w:val="000000" w:themeColor="text1"/>
        </w:rPr>
        <w:t xml:space="preserve"> </w:t>
      </w:r>
      <w:proofErr w:type="spellStart"/>
      <w:r w:rsidR="009569B5" w:rsidRPr="0081375C">
        <w:rPr>
          <w:rFonts w:ascii="Arial" w:eastAsia="Aptos" w:hAnsi="Arial" w:cs="Arial"/>
          <w:i/>
          <w:iCs/>
          <w:color w:val="000000" w:themeColor="text1"/>
        </w:rPr>
        <w:t>Information</w:t>
      </w:r>
      <w:proofErr w:type="spellEnd"/>
      <w:r w:rsidR="009569B5" w:rsidRPr="0081375C">
        <w:rPr>
          <w:rFonts w:ascii="Arial" w:eastAsia="Aptos" w:hAnsi="Arial" w:cs="Arial"/>
          <w:i/>
          <w:iCs/>
          <w:color w:val="000000" w:themeColor="text1"/>
        </w:rPr>
        <w:t xml:space="preserve"> </w:t>
      </w:r>
      <w:proofErr w:type="spellStart"/>
      <w:r w:rsidR="009569B5" w:rsidRPr="0081375C">
        <w:rPr>
          <w:rFonts w:ascii="Arial" w:eastAsia="Aptos" w:hAnsi="Arial" w:cs="Arial"/>
          <w:i/>
          <w:iCs/>
          <w:color w:val="000000" w:themeColor="text1"/>
        </w:rPr>
        <w:t>Facility</w:t>
      </w:r>
      <w:proofErr w:type="spellEnd"/>
      <w:r w:rsidR="009569B5" w:rsidRPr="0081375C">
        <w:rPr>
          <w:rFonts w:ascii="Arial" w:eastAsia="Aptos" w:hAnsi="Arial" w:cs="Arial"/>
          <w:color w:val="000000" w:themeColor="text1"/>
        </w:rPr>
        <w:t xml:space="preserve"> o Sistema Global de Información sobre Biodiversidad) es una red internacional que reúne y comparte datos sobre la biodiversidad del planeta, permitiendo el acceso libre y gratuito a información sobre plantas, animales, hongos, microorganismos y otros seres vivos, </w:t>
      </w:r>
      <w:r w:rsidRPr="0081375C">
        <w:rPr>
          <w:rFonts w:ascii="Arial" w:eastAsia="Aptos" w:hAnsi="Arial" w:cs="Arial"/>
          <w:color w:val="000000" w:themeColor="text1"/>
        </w:rPr>
        <w:t xml:space="preserve">con el fin de ampliar la base de datos y fortalecer el análisis de biodiversidad para flora, aves, mamíferos y </w:t>
      </w:r>
      <w:proofErr w:type="spellStart"/>
      <w:r w:rsidRPr="0081375C">
        <w:rPr>
          <w:rFonts w:ascii="Arial" w:eastAsia="Aptos" w:hAnsi="Arial" w:cs="Arial"/>
          <w:color w:val="000000" w:themeColor="text1"/>
        </w:rPr>
        <w:t>herpetofauna</w:t>
      </w:r>
      <w:proofErr w:type="spellEnd"/>
      <w:r w:rsidRPr="0081375C">
        <w:rPr>
          <w:rFonts w:ascii="Arial" w:eastAsia="Aptos" w:hAnsi="Arial" w:cs="Arial"/>
          <w:color w:val="000000" w:themeColor="text1"/>
        </w:rPr>
        <w:t xml:space="preserve">. Este enfoque considera dos tipos de modelación espacial aplicados de manera complementaria: el Modelo Aditivo </w:t>
      </w:r>
      <w:r w:rsidRPr="0081375C">
        <w:rPr>
          <w:rFonts w:ascii="Arial" w:eastAsia="Aptos" w:hAnsi="Arial" w:cs="Arial"/>
          <w:color w:val="000000" w:themeColor="text1"/>
        </w:rPr>
        <w:lastRenderedPageBreak/>
        <w:t>Generalizado (GAM), utilizado para estimar la riqueza potencial de especies en función de variables ambientales, climáticas y de cobertura y los Modelos de Distribución de Especies (MDE), orientados a identificar áreas con alta idoneidad potencial de hábitat para especies endémicas y/o amenazadas.</w:t>
      </w:r>
    </w:p>
    <w:p w14:paraId="67F2E09E" w14:textId="77777777" w:rsidR="7670D8C4" w:rsidRPr="0081375C" w:rsidRDefault="7670D8C4" w:rsidP="7670D8C4">
      <w:pPr>
        <w:spacing w:line="23" w:lineRule="atLeast"/>
        <w:jc w:val="both"/>
        <w:rPr>
          <w:rFonts w:ascii="Arial" w:eastAsia="Aptos" w:hAnsi="Arial" w:cs="Arial"/>
          <w:color w:val="000000" w:themeColor="text1"/>
        </w:rPr>
      </w:pPr>
    </w:p>
    <w:p w14:paraId="2AB68913" w14:textId="45612819" w:rsidR="5019CF5E" w:rsidRPr="0081375C" w:rsidRDefault="65049D20"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La aplicación del criterio se realizó de manera independiente para cada grupo biológico evaluado. Los registros de ocurrencia utilizados para </w:t>
      </w:r>
      <w:proofErr w:type="gramStart"/>
      <w:r w:rsidRPr="0081375C">
        <w:rPr>
          <w:rFonts w:ascii="Arial" w:eastAsia="Aptos" w:hAnsi="Arial" w:cs="Arial"/>
          <w:color w:val="000000" w:themeColor="text1"/>
        </w:rPr>
        <w:t>flora ,</w:t>
      </w:r>
      <w:proofErr w:type="gramEnd"/>
      <w:r w:rsidRPr="0081375C">
        <w:rPr>
          <w:rFonts w:ascii="Arial" w:eastAsia="Aptos" w:hAnsi="Arial" w:cs="Arial"/>
          <w:color w:val="000000" w:themeColor="text1"/>
        </w:rPr>
        <w:t xml:space="preserve"> aves, mamíferos y </w:t>
      </w:r>
      <w:proofErr w:type="spellStart"/>
      <w:r w:rsidRPr="0081375C">
        <w:rPr>
          <w:rFonts w:ascii="Arial" w:eastAsia="Aptos" w:hAnsi="Arial" w:cs="Arial"/>
          <w:color w:val="000000" w:themeColor="text1"/>
        </w:rPr>
        <w:t>herpetofauna</w:t>
      </w:r>
      <w:proofErr w:type="spellEnd"/>
      <w:r w:rsidRPr="0081375C">
        <w:rPr>
          <w:rFonts w:ascii="Arial" w:eastAsia="Aptos" w:hAnsi="Arial" w:cs="Arial"/>
          <w:color w:val="000000" w:themeColor="text1"/>
        </w:rPr>
        <w:t xml:space="preserve"> fueron obtenidos de la </w:t>
      </w:r>
      <w:proofErr w:type="gramStart"/>
      <w:r w:rsidRPr="0081375C">
        <w:rPr>
          <w:rFonts w:ascii="Arial" w:eastAsia="Aptos" w:hAnsi="Arial" w:cs="Arial"/>
          <w:color w:val="000000" w:themeColor="text1"/>
        </w:rPr>
        <w:t>plataforma  Global</w:t>
      </w:r>
      <w:proofErr w:type="gramEnd"/>
      <w:r w:rsidRPr="0081375C">
        <w:rPr>
          <w:rFonts w:ascii="Arial" w:eastAsia="Aptos" w:hAnsi="Arial" w:cs="Arial"/>
          <w:color w:val="000000" w:themeColor="text1"/>
        </w:rPr>
        <w:t xml:space="preserve"> </w:t>
      </w:r>
      <w:proofErr w:type="spellStart"/>
      <w:r w:rsidRPr="0081375C">
        <w:rPr>
          <w:rFonts w:ascii="Arial" w:eastAsia="Aptos" w:hAnsi="Arial" w:cs="Arial"/>
          <w:color w:val="000000" w:themeColor="text1"/>
        </w:rPr>
        <w:t>Biodiversity</w:t>
      </w:r>
      <w:proofErr w:type="spellEnd"/>
      <w:r w:rsidRPr="0081375C">
        <w:rPr>
          <w:rFonts w:ascii="Arial" w:eastAsia="Aptos" w:hAnsi="Arial" w:cs="Arial"/>
          <w:color w:val="000000" w:themeColor="text1"/>
        </w:rPr>
        <w:t xml:space="preserve"> </w:t>
      </w:r>
      <w:proofErr w:type="spellStart"/>
      <w:r w:rsidRPr="0081375C">
        <w:rPr>
          <w:rFonts w:ascii="Arial" w:eastAsia="Aptos" w:hAnsi="Arial" w:cs="Arial"/>
          <w:color w:val="000000" w:themeColor="text1"/>
        </w:rPr>
        <w:t>Information</w:t>
      </w:r>
      <w:proofErr w:type="spellEnd"/>
      <w:r w:rsidRPr="0081375C">
        <w:rPr>
          <w:rFonts w:ascii="Arial" w:eastAsia="Aptos" w:hAnsi="Arial" w:cs="Arial"/>
          <w:color w:val="000000" w:themeColor="text1"/>
        </w:rPr>
        <w:t xml:space="preserve"> </w:t>
      </w:r>
      <w:proofErr w:type="spellStart"/>
      <w:r w:rsidRPr="0081375C">
        <w:rPr>
          <w:rFonts w:ascii="Arial" w:eastAsia="Aptos" w:hAnsi="Arial" w:cs="Arial"/>
          <w:color w:val="000000" w:themeColor="text1"/>
        </w:rPr>
        <w:t>Facility</w:t>
      </w:r>
      <w:proofErr w:type="spellEnd"/>
      <w:r w:rsidRPr="0081375C">
        <w:rPr>
          <w:rFonts w:ascii="Arial" w:eastAsia="Aptos" w:hAnsi="Arial" w:cs="Arial"/>
          <w:color w:val="000000" w:themeColor="text1"/>
        </w:rPr>
        <w:t xml:space="preserve"> (GBIF), con fecha de descarga (13/05/2026). Para la </w:t>
      </w:r>
      <w:proofErr w:type="spellStart"/>
      <w:r w:rsidRPr="0081375C">
        <w:rPr>
          <w:rFonts w:ascii="Arial" w:eastAsia="Aptos" w:hAnsi="Arial" w:cs="Arial"/>
          <w:color w:val="000000" w:themeColor="text1"/>
        </w:rPr>
        <w:t>construcciónde</w:t>
      </w:r>
      <w:proofErr w:type="spellEnd"/>
      <w:r w:rsidRPr="0081375C">
        <w:rPr>
          <w:rFonts w:ascii="Arial" w:eastAsia="Aptos" w:hAnsi="Arial" w:cs="Arial"/>
          <w:color w:val="000000" w:themeColor="text1"/>
        </w:rPr>
        <w:t xml:space="preserve"> los modelos se consideraron </w:t>
      </w:r>
      <w:proofErr w:type="gramStart"/>
      <w:r w:rsidRPr="0081375C">
        <w:rPr>
          <w:rFonts w:ascii="Arial" w:eastAsia="Aptos" w:hAnsi="Arial" w:cs="Arial"/>
          <w:color w:val="000000" w:themeColor="text1"/>
        </w:rPr>
        <w:t>únicamente  especies</w:t>
      </w:r>
      <w:proofErr w:type="gramEnd"/>
      <w:r w:rsidRPr="0081375C">
        <w:rPr>
          <w:rFonts w:ascii="Arial" w:eastAsia="Aptos" w:hAnsi="Arial" w:cs="Arial"/>
          <w:color w:val="000000" w:themeColor="text1"/>
        </w:rPr>
        <w:t xml:space="preserve"> con más de cinco registros de ocurrencia.   En flora, los modelos GAM se construyeron a partir de inventarios forestales correspondientes a 313 parcelas, mientras que para fauna se emplearon registros con más de cinco datos por punto de muestreo para aves, mamíferos y </w:t>
      </w:r>
      <w:proofErr w:type="spellStart"/>
      <w:r w:rsidRPr="0081375C">
        <w:rPr>
          <w:rFonts w:ascii="Arial" w:eastAsia="Aptos" w:hAnsi="Arial" w:cs="Arial"/>
          <w:color w:val="000000" w:themeColor="text1"/>
        </w:rPr>
        <w:t>herpetofauna</w:t>
      </w:r>
      <w:proofErr w:type="spellEnd"/>
      <w:r w:rsidRPr="0081375C">
        <w:rPr>
          <w:rFonts w:ascii="Arial" w:eastAsia="Aptos" w:hAnsi="Arial" w:cs="Arial"/>
          <w:color w:val="000000" w:themeColor="text1"/>
        </w:rPr>
        <w:t xml:space="preserve">. En el caso de los </w:t>
      </w:r>
      <w:r w:rsidRPr="0081375C">
        <w:rPr>
          <w:rFonts w:ascii="Arial" w:hAnsi="Arial" w:cs="Arial"/>
        </w:rPr>
        <w:t>Modelos de Distribución de Especies (</w:t>
      </w:r>
      <w:r w:rsidRPr="0081375C">
        <w:rPr>
          <w:rFonts w:ascii="Arial" w:eastAsia="Aptos" w:hAnsi="Arial" w:cs="Arial"/>
          <w:color w:val="000000" w:themeColor="text1"/>
        </w:rPr>
        <w:t xml:space="preserve">MDE), se incluyeron 28 especies focales: 11 de flora, ocho (8) de aves, cuatro (4) de mamíferos y cinco (5) de </w:t>
      </w:r>
      <w:proofErr w:type="spellStart"/>
      <w:r w:rsidRPr="0081375C">
        <w:rPr>
          <w:rFonts w:ascii="Arial" w:eastAsia="Aptos" w:hAnsi="Arial" w:cs="Arial"/>
          <w:color w:val="000000" w:themeColor="text1"/>
        </w:rPr>
        <w:t>herpetofauna</w:t>
      </w:r>
      <w:proofErr w:type="spellEnd"/>
      <w:r w:rsidRPr="0081375C">
        <w:rPr>
          <w:rFonts w:ascii="Arial" w:eastAsia="Aptos" w:hAnsi="Arial" w:cs="Arial"/>
          <w:color w:val="000000" w:themeColor="text1"/>
        </w:rPr>
        <w:t xml:space="preserve">. La integración de estos insumos permite identificar áreas con alta riqueza potencial, elevada singularidad biológica, mayor complementariedad ecológica y condiciones favorables para la presencia de especies sensibles, restringidas o amenazadas. De esta manera, el criterio orienta la priorización del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hacia predios estratégicos para la conservación y/o restauración, por su aporte a la protección de hábitats críticos, la persistencia de las especies y el mantenimiento de la estructura ecológica del territorio. La capa resultante se obtiene sumando los valores de riqueza potencial e idoneidad de hábitat, estimados por píxel para todos los grupos evaluados.</w:t>
      </w:r>
    </w:p>
    <w:p w14:paraId="66B2BF17" w14:textId="790CBB85" w:rsidR="00A00986" w:rsidRPr="0081375C" w:rsidRDefault="00A00986" w:rsidP="7670D8C4">
      <w:pPr>
        <w:spacing w:line="23" w:lineRule="atLeast"/>
        <w:jc w:val="both"/>
        <w:rPr>
          <w:rFonts w:ascii="Arial" w:eastAsia="Aptos" w:hAnsi="Arial" w:cs="Arial"/>
          <w:color w:val="000000" w:themeColor="text1"/>
        </w:rPr>
      </w:pPr>
    </w:p>
    <w:p w14:paraId="502CCC03" w14:textId="1AF9472F" w:rsidR="5019CF5E" w:rsidRPr="0081375C" w:rsidRDefault="5019CF5E" w:rsidP="7670D8C4">
      <w:pPr>
        <w:spacing w:line="23" w:lineRule="atLeast"/>
        <w:jc w:val="both"/>
        <w:rPr>
          <w:rFonts w:ascii="Arial" w:hAnsi="Arial" w:cs="Arial"/>
          <w:b/>
          <w:bCs/>
          <w:color w:val="000000" w:themeColor="text1"/>
          <w:sz w:val="20"/>
          <w:szCs w:val="20"/>
        </w:rPr>
      </w:pPr>
      <w:bookmarkStart w:id="32" w:name="_Toc233040656"/>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8</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Variables de Criterio 4. Biodiversidad</w:t>
      </w:r>
      <w:bookmarkEnd w:id="32"/>
      <w:r w:rsidRPr="0081375C">
        <w:rPr>
          <w:rFonts w:ascii="Arial" w:hAnsi="Arial" w:cs="Arial"/>
          <w:b/>
          <w:bCs/>
          <w:color w:val="000000" w:themeColor="text1"/>
          <w:sz w:val="20"/>
          <w:szCs w:val="20"/>
        </w:rPr>
        <w:t xml:space="preserve"> </w:t>
      </w:r>
    </w:p>
    <w:tbl>
      <w:tblPr>
        <w:tblW w:w="0" w:type="auto"/>
        <w:tblLook w:val="0600" w:firstRow="0" w:lastRow="0" w:firstColumn="0" w:lastColumn="0" w:noHBand="1" w:noVBand="1"/>
      </w:tblPr>
      <w:tblGrid>
        <w:gridCol w:w="2405"/>
        <w:gridCol w:w="5103"/>
        <w:gridCol w:w="1128"/>
      </w:tblGrid>
      <w:tr w:rsidR="7670D8C4" w:rsidRPr="0081375C" w14:paraId="78B13F7D" w14:textId="77777777" w:rsidTr="65049D2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2C3529"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Variable</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6C7043"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Descripción</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FB1E20"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Puntaje</w:t>
            </w:r>
          </w:p>
        </w:tc>
      </w:tr>
      <w:tr w:rsidR="7670D8C4" w:rsidRPr="0081375C" w14:paraId="1BEDCF40" w14:textId="77777777" w:rsidTr="65049D2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47588" w14:textId="77777777" w:rsidR="7670D8C4" w:rsidRPr="0081375C" w:rsidRDefault="7670D8C4" w:rsidP="00FD3E82">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Alta riqueza potencial + alta idoneidad de hábitat</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2D75FE" w14:textId="77777777" w:rsidR="7670D8C4" w:rsidRPr="0081375C" w:rsidRDefault="65049D20" w:rsidP="00FD3E8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Sectores con los valores más altos de riqueza estimada según el modelo GAM, asociados a una mayor concentración esperada de biodiversidad, mayor heterogeneidad biológica y alta idoneidad de hábitat para especies endémicas y/o amenazadas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AD4794"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15</w:t>
            </w:r>
          </w:p>
        </w:tc>
      </w:tr>
      <w:tr w:rsidR="7670D8C4" w:rsidRPr="0081375C" w14:paraId="40D628F5" w14:textId="77777777" w:rsidTr="65049D2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51BC96"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Riqueza potencial e idoneidad de hábitat media</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2F55FA" w14:textId="56B9DE22" w:rsidR="7670D8C4" w:rsidRPr="0081375C" w:rsidRDefault="7670D8C4" w:rsidP="0022761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Sectores con valores intermedios de riqueza potencial estimada, que mantienen condiciones ecológicas relevantes para la biodiversidad, aunque con una menor concentración esperada de especies y niveles moderados de idoneidad de hábitat para especies endémicas y/o amenazadas.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ED33EF"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7</w:t>
            </w:r>
          </w:p>
        </w:tc>
      </w:tr>
      <w:tr w:rsidR="7670D8C4" w:rsidRPr="0081375C" w14:paraId="6A8EA445" w14:textId="77777777" w:rsidTr="65049D2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96552"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Riqueza potencial e idoneidad de hábitat baja</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B08941" w14:textId="3ECDEFEB" w:rsidR="7670D8C4" w:rsidRPr="0081375C" w:rsidRDefault="7670D8C4" w:rsidP="0022761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Sectores con valores intermedios de riqueza potencial estimada, que mantienen condiciones ecológicas relevantes para la biodiversidad, aunque con una menor concentración esperada de especies y niveles moderados de idoneidad de hábitat para especies endémicas y/o amenazadas.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F8FB06" w14:textId="77777777" w:rsidR="7670D8C4" w:rsidRPr="0081375C" w:rsidRDefault="7670D8C4" w:rsidP="00FD3E82">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w:t>
            </w:r>
          </w:p>
        </w:tc>
      </w:tr>
    </w:tbl>
    <w:p w14:paraId="2CCAD2A5" w14:textId="77777777" w:rsidR="7670D8C4" w:rsidRPr="0081375C" w:rsidRDefault="7670D8C4" w:rsidP="7670D8C4">
      <w:pPr>
        <w:spacing w:line="23" w:lineRule="atLeast"/>
        <w:jc w:val="both"/>
        <w:rPr>
          <w:rFonts w:ascii="Arial" w:eastAsia="Aptos" w:hAnsi="Arial" w:cs="Arial"/>
          <w:color w:val="000000" w:themeColor="text1"/>
        </w:rPr>
      </w:pPr>
    </w:p>
    <w:p w14:paraId="1114C1E9" w14:textId="046A9E10" w:rsidR="5019CF5E" w:rsidRPr="0081375C" w:rsidRDefault="5019CF5E" w:rsidP="7670D8C4">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C5. Grado de </w:t>
      </w:r>
      <w:r w:rsidR="003E4E90" w:rsidRPr="0081375C">
        <w:rPr>
          <w:rFonts w:ascii="Arial" w:eastAsia="Aptos" w:hAnsi="Arial" w:cs="Arial"/>
          <w:b/>
          <w:bCs/>
          <w:color w:val="000000" w:themeColor="text1"/>
        </w:rPr>
        <w:t>A</w:t>
      </w:r>
      <w:r w:rsidRPr="0081375C">
        <w:rPr>
          <w:rFonts w:ascii="Arial" w:eastAsia="Aptos" w:hAnsi="Arial" w:cs="Arial"/>
          <w:b/>
          <w:bCs/>
          <w:color w:val="000000" w:themeColor="text1"/>
        </w:rPr>
        <w:t xml:space="preserve">menaza por </w:t>
      </w:r>
      <w:r w:rsidR="003E4E90" w:rsidRPr="0081375C">
        <w:rPr>
          <w:rFonts w:ascii="Arial" w:eastAsia="Aptos" w:hAnsi="Arial" w:cs="Arial"/>
          <w:b/>
          <w:bCs/>
          <w:color w:val="000000" w:themeColor="text1"/>
        </w:rPr>
        <w:t>P</w:t>
      </w:r>
      <w:r w:rsidRPr="0081375C">
        <w:rPr>
          <w:rFonts w:ascii="Arial" w:eastAsia="Aptos" w:hAnsi="Arial" w:cs="Arial"/>
          <w:b/>
          <w:bCs/>
          <w:color w:val="000000" w:themeColor="text1"/>
        </w:rPr>
        <w:t xml:space="preserve">resión </w:t>
      </w:r>
      <w:r w:rsidR="003E4E90" w:rsidRPr="0081375C">
        <w:rPr>
          <w:rFonts w:ascii="Arial" w:eastAsia="Aptos" w:hAnsi="Arial" w:cs="Arial"/>
          <w:b/>
          <w:bCs/>
          <w:color w:val="000000" w:themeColor="text1"/>
        </w:rPr>
        <w:t>A</w:t>
      </w:r>
      <w:r w:rsidRPr="0081375C">
        <w:rPr>
          <w:rFonts w:ascii="Arial" w:eastAsia="Aptos" w:hAnsi="Arial" w:cs="Arial"/>
          <w:b/>
          <w:bCs/>
          <w:color w:val="000000" w:themeColor="text1"/>
        </w:rPr>
        <w:t>ntrópica (7,65%):</w:t>
      </w:r>
    </w:p>
    <w:p w14:paraId="3B689AE0" w14:textId="77777777" w:rsidR="7670D8C4" w:rsidRPr="0081375C" w:rsidRDefault="7670D8C4" w:rsidP="7670D8C4">
      <w:pPr>
        <w:spacing w:line="23" w:lineRule="atLeast"/>
        <w:jc w:val="both"/>
        <w:rPr>
          <w:rFonts w:ascii="Arial" w:eastAsia="Aptos" w:hAnsi="Arial" w:cs="Arial"/>
          <w:color w:val="000000" w:themeColor="text1"/>
        </w:rPr>
      </w:pPr>
    </w:p>
    <w:p w14:paraId="1E6BB925" w14:textId="77777777"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Este criterio evalúa la amenaza sobre las coberturas naturales derivada de la presión demográfica, mediante el Índice de Ambiente Crítico (IAC) propuesto por el MADS (2014). El IAC integra el Indicador de Vegetación Remanente (IVR), que expresa el porcentaje de vegetación natural del predio a partir del </w:t>
      </w:r>
      <w:proofErr w:type="spellStart"/>
      <w:r w:rsidRPr="0081375C">
        <w:rPr>
          <w:rFonts w:ascii="Arial" w:eastAsia="Aptos" w:hAnsi="Arial" w:cs="Arial"/>
          <w:color w:val="000000" w:themeColor="text1"/>
        </w:rPr>
        <w:t>raster</w:t>
      </w:r>
      <w:proofErr w:type="spellEnd"/>
      <w:r w:rsidRPr="0081375C">
        <w:rPr>
          <w:rFonts w:ascii="Arial" w:eastAsia="Aptos" w:hAnsi="Arial" w:cs="Arial"/>
          <w:color w:val="000000" w:themeColor="text1"/>
        </w:rPr>
        <w:t xml:space="preserve"> obtenido de la ortofoto 2024, y el Índice de Presión Demográfica (IPD), calculado como el producto de la densidad poblacional y la tasa de crecimiento por corregimiento y comuna (DANE, proyección 2026).</w:t>
      </w:r>
    </w:p>
    <w:p w14:paraId="45E43C3B" w14:textId="77777777" w:rsidR="7670D8C4" w:rsidRPr="0081375C" w:rsidRDefault="7670D8C4" w:rsidP="7670D8C4">
      <w:pPr>
        <w:spacing w:line="23" w:lineRule="atLeast"/>
        <w:jc w:val="both"/>
        <w:rPr>
          <w:rFonts w:ascii="Arial" w:eastAsia="Aptos" w:hAnsi="Arial" w:cs="Arial"/>
          <w:color w:val="000000" w:themeColor="text1"/>
        </w:rPr>
      </w:pPr>
    </w:p>
    <w:p w14:paraId="116995DC" w14:textId="65B9CCBF" w:rsidR="5019CF5E" w:rsidRPr="0081375C" w:rsidRDefault="5019CF5E" w:rsidP="7670D8C4">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Indicador de Vegetación Remanente (IVR = AVR / AT × 100)</w:t>
      </w:r>
    </w:p>
    <w:p w14:paraId="190CFEB7" w14:textId="77777777" w:rsidR="7670D8C4" w:rsidRPr="0081375C" w:rsidRDefault="7670D8C4" w:rsidP="7670D8C4">
      <w:pPr>
        <w:spacing w:line="23" w:lineRule="atLeast"/>
        <w:jc w:val="both"/>
        <w:rPr>
          <w:rFonts w:ascii="Arial" w:eastAsia="Aptos" w:hAnsi="Arial" w:cs="Arial"/>
          <w:color w:val="000000" w:themeColor="text1"/>
        </w:rPr>
      </w:pPr>
    </w:p>
    <w:p w14:paraId="14193383" w14:textId="4367E52E" w:rsidR="5019CF5E" w:rsidRPr="0081375C" w:rsidRDefault="5019CF5E" w:rsidP="7670D8C4">
      <w:pPr>
        <w:spacing w:line="23" w:lineRule="atLeast"/>
        <w:jc w:val="both"/>
        <w:rPr>
          <w:rFonts w:ascii="Arial" w:hAnsi="Arial" w:cs="Arial"/>
          <w:b/>
          <w:bCs/>
          <w:color w:val="000000" w:themeColor="text1"/>
          <w:sz w:val="20"/>
          <w:szCs w:val="20"/>
        </w:rPr>
      </w:pPr>
      <w:bookmarkStart w:id="33" w:name="_Toc233040657"/>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9</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Variables de Criterio 5. Grado de amenaza por presión antrópica</w:t>
      </w:r>
      <w:bookmarkEnd w:id="33"/>
      <w:r w:rsidRPr="0081375C">
        <w:rPr>
          <w:rFonts w:ascii="Arial" w:hAnsi="Arial" w:cs="Arial"/>
          <w:b/>
          <w:bCs/>
          <w:color w:val="000000" w:themeColor="text1"/>
          <w:sz w:val="20"/>
          <w:szCs w:val="20"/>
        </w:rPr>
        <w:t xml:space="preserve"> </w:t>
      </w:r>
    </w:p>
    <w:tbl>
      <w:tblPr>
        <w:tblW w:w="0" w:type="auto"/>
        <w:tblLook w:val="0600" w:firstRow="0" w:lastRow="0" w:firstColumn="0" w:lastColumn="0" w:noHBand="1" w:noVBand="1"/>
      </w:tblPr>
      <w:tblGrid>
        <w:gridCol w:w="4357"/>
        <w:gridCol w:w="4279"/>
      </w:tblGrid>
      <w:tr w:rsidR="7670D8C4" w:rsidRPr="0081375C" w14:paraId="37370872" w14:textId="77777777" w:rsidTr="00352485">
        <w:trPr>
          <w:trHeight w:val="20"/>
          <w:tblHeader/>
        </w:trPr>
        <w:tc>
          <w:tcPr>
            <w:tcW w:w="4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6A88C" w14:textId="77777777" w:rsidR="7670D8C4" w:rsidRPr="0081375C" w:rsidRDefault="7670D8C4" w:rsidP="003E4E90">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Descriptor</w:t>
            </w:r>
          </w:p>
        </w:tc>
        <w:tc>
          <w:tcPr>
            <w:tcW w:w="4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B73E2A" w14:textId="77777777" w:rsidR="7670D8C4" w:rsidRPr="0081375C" w:rsidRDefault="7670D8C4" w:rsidP="003E4E90">
            <w:pPr>
              <w:spacing w:line="23" w:lineRule="atLeast"/>
              <w:jc w:val="center"/>
              <w:rPr>
                <w:rFonts w:ascii="Arial" w:eastAsia="Arial" w:hAnsi="Arial" w:cs="Arial"/>
                <w:b/>
                <w:bCs/>
                <w:color w:val="000000" w:themeColor="text1"/>
                <w:sz w:val="20"/>
                <w:szCs w:val="20"/>
              </w:rPr>
            </w:pPr>
            <w:r w:rsidRPr="0081375C">
              <w:rPr>
                <w:rFonts w:ascii="Arial" w:eastAsia="Arial" w:hAnsi="Arial" w:cs="Arial"/>
                <w:b/>
                <w:bCs/>
                <w:color w:val="000000" w:themeColor="text1"/>
                <w:sz w:val="20"/>
                <w:szCs w:val="20"/>
              </w:rPr>
              <w:t>Rango</w:t>
            </w:r>
          </w:p>
        </w:tc>
      </w:tr>
      <w:tr w:rsidR="7670D8C4" w:rsidRPr="0081375C" w14:paraId="74F2C6BE" w14:textId="77777777" w:rsidTr="003E4E90">
        <w:trPr>
          <w:trHeight w:val="20"/>
        </w:trPr>
        <w:tc>
          <w:tcPr>
            <w:tcW w:w="4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7BF506"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NT: Escasamente transformado</w:t>
            </w:r>
          </w:p>
        </w:tc>
        <w:tc>
          <w:tcPr>
            <w:tcW w:w="4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E70EED"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IVR ≥ 70%</w:t>
            </w:r>
          </w:p>
        </w:tc>
      </w:tr>
      <w:tr w:rsidR="7670D8C4" w:rsidRPr="0081375C" w14:paraId="63335897" w14:textId="77777777" w:rsidTr="003E4E90">
        <w:trPr>
          <w:trHeight w:val="20"/>
        </w:trPr>
        <w:tc>
          <w:tcPr>
            <w:tcW w:w="4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7ABF36"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PT: Parcialmente transformado</w:t>
            </w:r>
          </w:p>
        </w:tc>
        <w:tc>
          <w:tcPr>
            <w:tcW w:w="4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DE423D"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IVR ≥ 50% y &lt; 70%</w:t>
            </w:r>
          </w:p>
        </w:tc>
      </w:tr>
      <w:tr w:rsidR="7670D8C4" w:rsidRPr="0081375C" w14:paraId="0303B845" w14:textId="77777777" w:rsidTr="003E4E90">
        <w:trPr>
          <w:trHeight w:val="20"/>
        </w:trPr>
        <w:tc>
          <w:tcPr>
            <w:tcW w:w="4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DF5369"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MDT: Medianamente transformado</w:t>
            </w:r>
          </w:p>
        </w:tc>
        <w:tc>
          <w:tcPr>
            <w:tcW w:w="4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785F82"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IVR ≥ 30% y &lt; 50%</w:t>
            </w:r>
          </w:p>
        </w:tc>
      </w:tr>
      <w:tr w:rsidR="7670D8C4" w:rsidRPr="0081375C" w14:paraId="3EFD0CF9" w14:textId="77777777" w:rsidTr="003E4E90">
        <w:trPr>
          <w:trHeight w:val="20"/>
        </w:trPr>
        <w:tc>
          <w:tcPr>
            <w:tcW w:w="4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6853F9"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MT: Muy transformado</w:t>
            </w:r>
          </w:p>
        </w:tc>
        <w:tc>
          <w:tcPr>
            <w:tcW w:w="4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DAD9EB"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IVR ≥ 10% y &lt; 30%</w:t>
            </w:r>
          </w:p>
        </w:tc>
      </w:tr>
      <w:tr w:rsidR="7670D8C4" w:rsidRPr="0081375C" w14:paraId="15F8BFC3" w14:textId="77777777" w:rsidTr="003E4E90">
        <w:trPr>
          <w:trHeight w:val="20"/>
        </w:trPr>
        <w:tc>
          <w:tcPr>
            <w:tcW w:w="4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6B718C"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CT: Completamente transformado</w:t>
            </w:r>
          </w:p>
        </w:tc>
        <w:tc>
          <w:tcPr>
            <w:tcW w:w="4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9178A3" w14:textId="77777777" w:rsidR="7670D8C4" w:rsidRPr="0081375C" w:rsidRDefault="7670D8C4" w:rsidP="003E4E90">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IVR &lt; 10%</w:t>
            </w:r>
          </w:p>
        </w:tc>
      </w:tr>
    </w:tbl>
    <w:p w14:paraId="3437C0ED" w14:textId="77777777" w:rsidR="00F070F6" w:rsidRPr="0081375C" w:rsidRDefault="00F070F6" w:rsidP="7670D8C4">
      <w:pPr>
        <w:spacing w:line="23" w:lineRule="atLeast"/>
        <w:jc w:val="both"/>
        <w:rPr>
          <w:rFonts w:ascii="Arial" w:eastAsia="Aptos" w:hAnsi="Arial" w:cs="Arial"/>
          <w:color w:val="000000" w:themeColor="text1"/>
          <w:sz w:val="20"/>
          <w:szCs w:val="20"/>
        </w:rPr>
      </w:pPr>
    </w:p>
    <w:p w14:paraId="7329AE81" w14:textId="27D1BC76" w:rsidR="5019CF5E" w:rsidRPr="0081375C" w:rsidRDefault="5019CF5E" w:rsidP="7670D8C4">
      <w:pPr>
        <w:spacing w:line="23" w:lineRule="atLeast"/>
        <w:jc w:val="both"/>
        <w:rPr>
          <w:rFonts w:ascii="Arial" w:eastAsia="Aptos" w:hAnsi="Arial" w:cs="Arial"/>
          <w:color w:val="000000" w:themeColor="text1"/>
          <w:sz w:val="20"/>
          <w:szCs w:val="20"/>
        </w:rPr>
      </w:pPr>
      <w:r w:rsidRPr="0081375C">
        <w:rPr>
          <w:rFonts w:ascii="Arial" w:eastAsia="Aptos" w:hAnsi="Arial" w:cs="Arial"/>
          <w:color w:val="000000" w:themeColor="text1"/>
          <w:sz w:val="20"/>
          <w:szCs w:val="20"/>
        </w:rPr>
        <w:t>Índice de Presión Demográfica (IPD = densidad poblacional × tasa de crecimiento)</w:t>
      </w:r>
    </w:p>
    <w:p w14:paraId="5F97ACF4" w14:textId="398235A0" w:rsidR="7670D8C4" w:rsidRPr="0081375C" w:rsidRDefault="7670D8C4" w:rsidP="7670D8C4">
      <w:pPr>
        <w:spacing w:line="23" w:lineRule="atLeast"/>
        <w:jc w:val="both"/>
        <w:rPr>
          <w:rFonts w:ascii="Arial" w:eastAsia="Aptos" w:hAnsi="Arial" w:cs="Arial"/>
          <w:color w:val="000000" w:themeColor="text1"/>
          <w:sz w:val="20"/>
          <w:szCs w:val="20"/>
        </w:rPr>
      </w:pPr>
    </w:p>
    <w:p w14:paraId="18927260" w14:textId="77777777" w:rsidR="00227618" w:rsidRPr="0081375C" w:rsidRDefault="00227618" w:rsidP="7670D8C4">
      <w:pPr>
        <w:spacing w:line="23" w:lineRule="atLeast"/>
        <w:jc w:val="both"/>
        <w:rPr>
          <w:rFonts w:ascii="Arial" w:eastAsia="Aptos" w:hAnsi="Arial" w:cs="Arial"/>
          <w:color w:val="000000" w:themeColor="text1"/>
          <w:sz w:val="20"/>
          <w:szCs w:val="20"/>
        </w:rPr>
      </w:pPr>
    </w:p>
    <w:p w14:paraId="70443513" w14:textId="23170D48" w:rsidR="5019CF5E" w:rsidRPr="0081375C" w:rsidRDefault="5019CF5E" w:rsidP="7670D8C4">
      <w:pPr>
        <w:spacing w:line="23" w:lineRule="atLeast"/>
        <w:jc w:val="both"/>
        <w:rPr>
          <w:rFonts w:ascii="Arial" w:hAnsi="Arial" w:cs="Arial"/>
          <w:b/>
          <w:bCs/>
          <w:color w:val="000000" w:themeColor="text1"/>
          <w:sz w:val="20"/>
          <w:szCs w:val="20"/>
        </w:rPr>
      </w:pPr>
      <w:bookmarkStart w:id="34" w:name="_Toc233040658"/>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10</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Índice de Presión Demográfica</w:t>
      </w:r>
      <w:bookmarkEnd w:id="34"/>
      <w:r w:rsidRPr="0081375C">
        <w:rPr>
          <w:rFonts w:ascii="Arial" w:hAnsi="Arial" w:cs="Arial"/>
          <w:b/>
          <w:bCs/>
          <w:color w:val="000000" w:themeColor="text1"/>
          <w:sz w:val="20"/>
          <w:szCs w:val="20"/>
        </w:rPr>
        <w:t xml:space="preserve"> </w:t>
      </w:r>
    </w:p>
    <w:tbl>
      <w:tblPr>
        <w:tblW w:w="0" w:type="auto"/>
        <w:tblLook w:val="0600" w:firstRow="0" w:lastRow="0" w:firstColumn="0" w:lastColumn="0" w:noHBand="1" w:noVBand="1"/>
      </w:tblPr>
      <w:tblGrid>
        <w:gridCol w:w="2405"/>
        <w:gridCol w:w="6231"/>
      </w:tblGrid>
      <w:tr w:rsidR="7670D8C4" w:rsidRPr="0081375C" w14:paraId="522D9C4E" w14:textId="77777777" w:rsidTr="00083D0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0D1FC0"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Rango</w:t>
            </w:r>
          </w:p>
        </w:tc>
        <w:tc>
          <w:tcPr>
            <w:tcW w:w="6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F95713"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b/>
                <w:bCs/>
                <w:color w:val="000000" w:themeColor="text1"/>
                <w:sz w:val="20"/>
                <w:szCs w:val="20"/>
              </w:rPr>
              <w:t>Descriptor</w:t>
            </w:r>
          </w:p>
        </w:tc>
      </w:tr>
      <w:tr w:rsidR="7670D8C4" w:rsidRPr="0081375C" w14:paraId="6D104CB7" w14:textId="77777777" w:rsidTr="00083D0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3A09F"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IPD &lt; 1</w:t>
            </w:r>
          </w:p>
        </w:tc>
        <w:tc>
          <w:tcPr>
            <w:tcW w:w="6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1E81AD"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Presión baja; la unidad expulsa población y la sostenibilidad puede mantenerse o recuperarse</w:t>
            </w:r>
          </w:p>
        </w:tc>
      </w:tr>
      <w:tr w:rsidR="7670D8C4" w:rsidRPr="0081375C" w14:paraId="5D0B5073" w14:textId="77777777" w:rsidTr="00083D0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119C4D"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 ≤ IPD &lt; 10</w:t>
            </w:r>
          </w:p>
        </w:tc>
        <w:tc>
          <w:tcPr>
            <w:tcW w:w="6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DAACC"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Presión media; población y amenazas crecientes pero normales</w:t>
            </w:r>
          </w:p>
        </w:tc>
      </w:tr>
      <w:tr w:rsidR="7670D8C4" w:rsidRPr="0081375C" w14:paraId="503F3773" w14:textId="77777777" w:rsidTr="00083D0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728F4"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10 ≤ IPD &lt; 100</w:t>
            </w:r>
          </w:p>
        </w:tc>
        <w:tc>
          <w:tcPr>
            <w:tcW w:w="6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5FC2B"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Presión alta; crecimiento acelerado de la población</w:t>
            </w:r>
          </w:p>
        </w:tc>
      </w:tr>
      <w:tr w:rsidR="7670D8C4" w:rsidRPr="0081375C" w14:paraId="3CB16E1E" w14:textId="77777777" w:rsidTr="00083D00">
        <w:trPr>
          <w:trHeight w:val="20"/>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7F5791"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IPD ≥ 100</w:t>
            </w:r>
          </w:p>
        </w:tc>
        <w:tc>
          <w:tcPr>
            <w:tcW w:w="6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F5A2B4"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Presión muy alta; crecimiento excesivo, grave amenaza a la sostenibilidad</w:t>
            </w:r>
          </w:p>
        </w:tc>
      </w:tr>
    </w:tbl>
    <w:p w14:paraId="1121FCDB" w14:textId="77777777" w:rsidR="00F070F6" w:rsidRPr="0081375C" w:rsidRDefault="00F070F6" w:rsidP="7670D8C4">
      <w:pPr>
        <w:spacing w:line="23" w:lineRule="atLeast"/>
        <w:jc w:val="both"/>
        <w:rPr>
          <w:rFonts w:ascii="Arial" w:eastAsia="Aptos" w:hAnsi="Arial" w:cs="Arial"/>
          <w:color w:val="000000" w:themeColor="text1"/>
          <w:sz w:val="20"/>
          <w:szCs w:val="20"/>
        </w:rPr>
      </w:pPr>
    </w:p>
    <w:p w14:paraId="5342D1B5" w14:textId="59F11791" w:rsidR="5019CF5E" w:rsidRPr="0081375C" w:rsidRDefault="5019CF5E" w:rsidP="7670D8C4">
      <w:pPr>
        <w:spacing w:line="23" w:lineRule="atLeast"/>
        <w:jc w:val="both"/>
        <w:rPr>
          <w:rFonts w:ascii="Arial" w:eastAsia="Aptos" w:hAnsi="Arial" w:cs="Arial"/>
          <w:color w:val="000000" w:themeColor="text1"/>
          <w:sz w:val="20"/>
          <w:szCs w:val="20"/>
        </w:rPr>
      </w:pPr>
      <w:r w:rsidRPr="0081375C">
        <w:rPr>
          <w:rFonts w:ascii="Arial" w:eastAsia="Aptos" w:hAnsi="Arial" w:cs="Arial"/>
          <w:color w:val="000000" w:themeColor="text1"/>
          <w:sz w:val="20"/>
          <w:szCs w:val="20"/>
        </w:rPr>
        <w:t>Matriz Índice de Ambiente critico (IAC)</w:t>
      </w:r>
    </w:p>
    <w:p w14:paraId="61F60D30" w14:textId="77777777" w:rsidR="7670D8C4" w:rsidRPr="0081375C" w:rsidRDefault="7670D8C4" w:rsidP="7670D8C4">
      <w:pPr>
        <w:spacing w:line="23" w:lineRule="atLeast"/>
        <w:jc w:val="both"/>
        <w:rPr>
          <w:rFonts w:ascii="Arial" w:eastAsia="Aptos" w:hAnsi="Arial" w:cs="Arial"/>
          <w:color w:val="000000" w:themeColor="text1"/>
          <w:sz w:val="20"/>
          <w:szCs w:val="20"/>
        </w:rPr>
      </w:pPr>
    </w:p>
    <w:p w14:paraId="6E1217A2" w14:textId="295B7796" w:rsidR="5019CF5E" w:rsidRPr="0081375C" w:rsidRDefault="5019CF5E" w:rsidP="7670D8C4">
      <w:pPr>
        <w:spacing w:line="23" w:lineRule="atLeast"/>
        <w:jc w:val="both"/>
        <w:rPr>
          <w:rFonts w:ascii="Arial" w:hAnsi="Arial" w:cs="Arial"/>
          <w:b/>
          <w:bCs/>
          <w:color w:val="000000" w:themeColor="text1"/>
          <w:sz w:val="20"/>
          <w:szCs w:val="20"/>
        </w:rPr>
      </w:pPr>
      <w:bookmarkStart w:id="35" w:name="_Toc233040659"/>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11</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Matriz IAC</w:t>
      </w:r>
      <w:bookmarkEnd w:id="35"/>
      <w:r w:rsidRPr="0081375C">
        <w:rPr>
          <w:rFonts w:ascii="Arial" w:hAnsi="Arial" w:cs="Arial"/>
          <w:b/>
          <w:bCs/>
          <w:color w:val="000000" w:themeColor="text1"/>
          <w:sz w:val="20"/>
          <w:szCs w:val="20"/>
        </w:rPr>
        <w:t xml:space="preserve"> </w:t>
      </w:r>
    </w:p>
    <w:tbl>
      <w:tblPr>
        <w:tblW w:w="0" w:type="auto"/>
        <w:tblLook w:val="0600" w:firstRow="0" w:lastRow="0" w:firstColumn="0" w:lastColumn="0" w:noHBand="1" w:noVBand="1"/>
      </w:tblPr>
      <w:tblGrid>
        <w:gridCol w:w="1741"/>
        <w:gridCol w:w="1714"/>
        <w:gridCol w:w="1717"/>
        <w:gridCol w:w="1733"/>
        <w:gridCol w:w="1731"/>
      </w:tblGrid>
      <w:tr w:rsidR="7670D8C4" w:rsidRPr="0081375C" w14:paraId="63A4B2C1" w14:textId="77777777" w:rsidTr="7670D8C4">
        <w:trPr>
          <w:trHeight w:val="300"/>
        </w:trPr>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1364A"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IVR \ IPD</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E14CC6"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&lt; 1</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0E5AE"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1–10</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ACC8B6"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10–100</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71823"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 100</w:t>
            </w:r>
          </w:p>
        </w:tc>
      </w:tr>
      <w:tr w:rsidR="7670D8C4" w:rsidRPr="0081375C" w14:paraId="4E6ACF8E" w14:textId="77777777" w:rsidTr="7670D8C4">
        <w:trPr>
          <w:trHeight w:val="300"/>
        </w:trPr>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AFEFC9"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NT</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385C35"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E7F5F3"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79110"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3060B"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r>
      <w:tr w:rsidR="7670D8C4" w:rsidRPr="0081375C" w14:paraId="3BE7F7F5" w14:textId="77777777" w:rsidTr="7670D8C4">
        <w:trPr>
          <w:trHeight w:val="300"/>
        </w:trPr>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BA8804"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PT</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4F8130"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3A38C5"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7047B"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FB5FD6"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r>
      <w:tr w:rsidR="7670D8C4" w:rsidRPr="0081375C" w14:paraId="1FB17EDA" w14:textId="77777777" w:rsidTr="7670D8C4">
        <w:trPr>
          <w:trHeight w:val="300"/>
        </w:trPr>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BE2B92"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MDT</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B0DB4"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64006E"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BA6B7"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E3618"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r>
      <w:tr w:rsidR="7670D8C4" w:rsidRPr="0081375C" w14:paraId="2E8E8624" w14:textId="77777777" w:rsidTr="7670D8C4">
        <w:trPr>
          <w:trHeight w:val="300"/>
        </w:trPr>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A7A262"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MT</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B10A8A"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B72FD0"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9104C"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IV</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DD401"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IV</w:t>
            </w:r>
          </w:p>
        </w:tc>
      </w:tr>
      <w:tr w:rsidR="7670D8C4" w:rsidRPr="0081375C" w14:paraId="36712138" w14:textId="77777777" w:rsidTr="7670D8C4">
        <w:trPr>
          <w:trHeight w:val="300"/>
        </w:trPr>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5364CF"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CT</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F641B"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FA1B1"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D3ED06"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IV</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427FCF"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V</w:t>
            </w:r>
          </w:p>
        </w:tc>
      </w:tr>
    </w:tbl>
    <w:p w14:paraId="4BBFB00D" w14:textId="77777777" w:rsidR="00F070F6" w:rsidRPr="0081375C" w:rsidRDefault="00F070F6" w:rsidP="7670D8C4">
      <w:pPr>
        <w:spacing w:line="23" w:lineRule="atLeast"/>
        <w:jc w:val="both"/>
        <w:rPr>
          <w:rFonts w:ascii="Arial" w:eastAsia="Aptos" w:hAnsi="Arial" w:cs="Arial"/>
          <w:color w:val="000000" w:themeColor="text1"/>
          <w:sz w:val="20"/>
          <w:szCs w:val="20"/>
        </w:rPr>
      </w:pPr>
    </w:p>
    <w:p w14:paraId="6CF5117E" w14:textId="5FEE159A" w:rsidR="5019CF5E" w:rsidRPr="0081375C" w:rsidRDefault="5019CF5E" w:rsidP="7670D8C4">
      <w:pPr>
        <w:spacing w:line="23" w:lineRule="atLeast"/>
        <w:jc w:val="both"/>
        <w:rPr>
          <w:rFonts w:ascii="Arial" w:eastAsia="Aptos" w:hAnsi="Arial" w:cs="Arial"/>
          <w:color w:val="000000" w:themeColor="text1"/>
          <w:sz w:val="20"/>
          <w:szCs w:val="20"/>
        </w:rPr>
      </w:pPr>
      <w:r w:rsidRPr="0081375C">
        <w:rPr>
          <w:rFonts w:ascii="Arial" w:eastAsia="Aptos" w:hAnsi="Arial" w:cs="Arial"/>
          <w:color w:val="000000" w:themeColor="text1"/>
          <w:sz w:val="20"/>
          <w:szCs w:val="20"/>
        </w:rPr>
        <w:t>Calificación del IAC</w:t>
      </w:r>
    </w:p>
    <w:p w14:paraId="186C5510" w14:textId="77777777" w:rsidR="7670D8C4" w:rsidRPr="0081375C" w:rsidRDefault="7670D8C4" w:rsidP="7670D8C4">
      <w:pPr>
        <w:spacing w:line="23" w:lineRule="atLeast"/>
        <w:jc w:val="both"/>
        <w:rPr>
          <w:rFonts w:ascii="Arial" w:eastAsia="Aptos" w:hAnsi="Arial" w:cs="Arial"/>
          <w:color w:val="000000" w:themeColor="text1"/>
          <w:sz w:val="20"/>
          <w:szCs w:val="20"/>
        </w:rPr>
      </w:pPr>
    </w:p>
    <w:p w14:paraId="1BDEFFC4" w14:textId="50B1E778" w:rsidR="5019CF5E" w:rsidRPr="0081375C" w:rsidRDefault="5019CF5E" w:rsidP="7670D8C4">
      <w:pPr>
        <w:spacing w:line="23" w:lineRule="atLeast"/>
        <w:jc w:val="both"/>
        <w:rPr>
          <w:rFonts w:ascii="Arial" w:hAnsi="Arial" w:cs="Arial"/>
          <w:b/>
          <w:bCs/>
          <w:color w:val="000000" w:themeColor="text1"/>
          <w:sz w:val="20"/>
          <w:szCs w:val="20"/>
        </w:rPr>
      </w:pPr>
      <w:bookmarkStart w:id="36" w:name="_Toc233040660"/>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12</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Calificación IAC</w:t>
      </w:r>
      <w:bookmarkEnd w:id="36"/>
      <w:r w:rsidRPr="0081375C">
        <w:rPr>
          <w:rFonts w:ascii="Arial" w:hAnsi="Arial" w:cs="Arial"/>
          <w:b/>
          <w:bCs/>
          <w:color w:val="000000" w:themeColor="text1"/>
          <w:sz w:val="20"/>
          <w:szCs w:val="20"/>
        </w:rPr>
        <w:t xml:space="preserve"> </w:t>
      </w:r>
    </w:p>
    <w:tbl>
      <w:tblPr>
        <w:tblW w:w="0" w:type="auto"/>
        <w:tblLook w:val="0600" w:firstRow="0" w:lastRow="0" w:firstColumn="0" w:lastColumn="0" w:noHBand="1" w:noVBand="1"/>
      </w:tblPr>
      <w:tblGrid>
        <w:gridCol w:w="1696"/>
        <w:gridCol w:w="5812"/>
        <w:gridCol w:w="1128"/>
      </w:tblGrid>
      <w:tr w:rsidR="7670D8C4" w:rsidRPr="0081375C" w14:paraId="65CF7A3F" w14:textId="77777777" w:rsidTr="7670D8C4">
        <w:trPr>
          <w:trHeight w:val="2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FC19EF"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Categoría</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959C74"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b/>
                <w:bCs/>
                <w:color w:val="000000" w:themeColor="text1"/>
                <w:sz w:val="20"/>
                <w:szCs w:val="20"/>
              </w:rPr>
              <w:t>Descripción</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45759"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b/>
                <w:bCs/>
                <w:color w:val="000000" w:themeColor="text1"/>
                <w:sz w:val="20"/>
                <w:szCs w:val="20"/>
              </w:rPr>
              <w:t>Puntaje</w:t>
            </w:r>
          </w:p>
        </w:tc>
      </w:tr>
      <w:tr w:rsidR="7670D8C4" w:rsidRPr="0081375C" w14:paraId="4A538459" w14:textId="77777777" w:rsidTr="7670D8C4">
        <w:trPr>
          <w:trHeight w:val="2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794FA"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lastRenderedPageBreak/>
              <w:t>I</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84D8C"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Relativamente estable o intacto; conservado y sin amenazas inminentes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F10D5"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15</w:t>
            </w:r>
          </w:p>
        </w:tc>
      </w:tr>
      <w:tr w:rsidR="7670D8C4" w:rsidRPr="0081375C" w14:paraId="06B3240F" w14:textId="77777777" w:rsidTr="7670D8C4">
        <w:trPr>
          <w:trHeight w:val="2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19196D"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B2B43"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Vulnerable; conservación aceptable y amenazas moderadas; sostenible en el mediano plazo</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E1E4E"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10</w:t>
            </w:r>
          </w:p>
        </w:tc>
      </w:tr>
      <w:tr w:rsidR="7670D8C4" w:rsidRPr="0081375C" w14:paraId="7597BBA0" w14:textId="77777777" w:rsidTr="7670D8C4">
        <w:trPr>
          <w:trHeight w:val="2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55C097"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III</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786CC"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En peligro; baja conservación y presiones fuertes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9297C6"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7</w:t>
            </w:r>
          </w:p>
        </w:tc>
      </w:tr>
      <w:tr w:rsidR="7670D8C4" w:rsidRPr="0081375C" w14:paraId="33D3151B" w14:textId="77777777" w:rsidTr="7670D8C4">
        <w:trPr>
          <w:trHeight w:val="2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AD56D0"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IV</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5E93C2"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Crítico; conservación baja y presiones fuertes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342D30"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5</w:t>
            </w:r>
          </w:p>
        </w:tc>
      </w:tr>
      <w:tr w:rsidR="7670D8C4" w:rsidRPr="0081375C" w14:paraId="3C3A9137" w14:textId="77777777" w:rsidTr="7670D8C4">
        <w:trPr>
          <w:trHeight w:val="20"/>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54F331"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V</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74E51D" w14:textId="77777777" w:rsidR="7670D8C4" w:rsidRPr="0081375C" w:rsidRDefault="7670D8C4" w:rsidP="7670D8C4">
            <w:pPr>
              <w:spacing w:line="23" w:lineRule="atLeast"/>
              <w:jc w:val="both"/>
              <w:rPr>
                <w:rFonts w:ascii="Arial" w:hAnsi="Arial" w:cs="Arial"/>
                <w:color w:val="000000" w:themeColor="text1"/>
                <w:sz w:val="20"/>
                <w:szCs w:val="20"/>
              </w:rPr>
            </w:pPr>
            <w:r w:rsidRPr="0081375C">
              <w:rPr>
                <w:rFonts w:ascii="Arial" w:eastAsia="Arial" w:hAnsi="Arial" w:cs="Arial"/>
                <w:color w:val="000000" w:themeColor="text1"/>
                <w:sz w:val="20"/>
                <w:szCs w:val="20"/>
              </w:rPr>
              <w:t>Muy crítico; sostenibilidad improbable, transformación radical y presiones muy elevadas</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8970FE" w14:textId="77777777" w:rsidR="7670D8C4" w:rsidRPr="0081375C" w:rsidRDefault="7670D8C4" w:rsidP="00083D00">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w:t>
            </w:r>
          </w:p>
        </w:tc>
      </w:tr>
    </w:tbl>
    <w:p w14:paraId="65DDDD69" w14:textId="77777777" w:rsidR="7670D8C4" w:rsidRPr="0081375C" w:rsidRDefault="7670D8C4" w:rsidP="7670D8C4">
      <w:pPr>
        <w:rPr>
          <w:rFonts w:ascii="Arial" w:hAnsi="Arial" w:cs="Arial"/>
        </w:rPr>
      </w:pPr>
    </w:p>
    <w:p w14:paraId="2B8363E3" w14:textId="3EAB8CC4" w:rsidR="5019CF5E" w:rsidRPr="0081375C" w:rsidRDefault="4535BE8C" w:rsidP="00A6685A">
      <w:pPr>
        <w:pStyle w:val="Ttulo4"/>
        <w:numPr>
          <w:ilvl w:val="3"/>
          <w:numId w:val="27"/>
        </w:numPr>
        <w:spacing w:before="0" w:after="0" w:line="23" w:lineRule="atLeast"/>
        <w:rPr>
          <w:rFonts w:eastAsia="Aptos" w:cs="Arial"/>
          <w:bCs/>
          <w:color w:val="000000" w:themeColor="text1"/>
        </w:rPr>
      </w:pPr>
      <w:bookmarkStart w:id="37" w:name="_Toc233304172"/>
      <w:r w:rsidRPr="0081375C">
        <w:rPr>
          <w:rFonts w:eastAsia="Aptos" w:cs="Arial"/>
          <w:bCs/>
          <w:color w:val="000000" w:themeColor="text1"/>
        </w:rPr>
        <w:t>Categorías</w:t>
      </w:r>
      <w:r w:rsidR="031328A6" w:rsidRPr="0081375C">
        <w:rPr>
          <w:rFonts w:eastAsia="Aptos" w:cs="Arial"/>
          <w:bCs/>
          <w:color w:val="000000" w:themeColor="text1"/>
        </w:rPr>
        <w:t xml:space="preserve"> de </w:t>
      </w:r>
      <w:r w:rsidR="7FCE537A" w:rsidRPr="0081375C">
        <w:rPr>
          <w:rFonts w:eastAsia="Aptos" w:cs="Arial"/>
          <w:bCs/>
          <w:color w:val="000000" w:themeColor="text1"/>
        </w:rPr>
        <w:t>P</w:t>
      </w:r>
      <w:r w:rsidR="031328A6" w:rsidRPr="0081375C">
        <w:rPr>
          <w:rFonts w:eastAsia="Aptos" w:cs="Arial"/>
          <w:bCs/>
          <w:color w:val="000000" w:themeColor="text1"/>
        </w:rPr>
        <w:t xml:space="preserve">riorización </w:t>
      </w:r>
      <w:r w:rsidR="3AE1CB8C" w:rsidRPr="0081375C">
        <w:rPr>
          <w:rFonts w:eastAsia="Aptos" w:cs="Arial"/>
          <w:bCs/>
          <w:color w:val="000000" w:themeColor="text1"/>
        </w:rPr>
        <w:t>E</w:t>
      </w:r>
      <w:r w:rsidR="031328A6" w:rsidRPr="0081375C">
        <w:rPr>
          <w:rFonts w:eastAsia="Aptos" w:cs="Arial"/>
          <w:bCs/>
          <w:color w:val="000000" w:themeColor="text1"/>
        </w:rPr>
        <w:t xml:space="preserve">cosistema </w:t>
      </w:r>
      <w:r w:rsidR="1537CB8A" w:rsidRPr="0081375C">
        <w:rPr>
          <w:rFonts w:eastAsia="Aptos" w:cs="Arial"/>
          <w:bCs/>
          <w:color w:val="000000" w:themeColor="text1"/>
        </w:rPr>
        <w:t>E</w:t>
      </w:r>
      <w:r w:rsidR="031328A6" w:rsidRPr="0081375C">
        <w:rPr>
          <w:rFonts w:eastAsia="Aptos" w:cs="Arial"/>
          <w:bCs/>
          <w:color w:val="000000" w:themeColor="text1"/>
        </w:rPr>
        <w:t>stratégico</w:t>
      </w:r>
      <w:r w:rsidR="5FFC3342" w:rsidRPr="0081375C">
        <w:rPr>
          <w:rFonts w:eastAsia="Aptos" w:cs="Arial"/>
          <w:bCs/>
          <w:color w:val="000000" w:themeColor="text1"/>
        </w:rPr>
        <w:t xml:space="preserve"> </w:t>
      </w:r>
      <w:proofErr w:type="spellStart"/>
      <w:r w:rsidR="031328A6" w:rsidRPr="0081375C">
        <w:rPr>
          <w:rFonts w:eastAsia="Aptos" w:cs="Arial"/>
          <w:bCs/>
          <w:color w:val="000000" w:themeColor="text1"/>
        </w:rPr>
        <w:t>PSAB</w:t>
      </w:r>
      <w:r w:rsidR="6586B435" w:rsidRPr="0081375C">
        <w:rPr>
          <w:rFonts w:eastAsia="Aptos" w:cs="Arial"/>
          <w:bCs/>
          <w:color w:val="000000" w:themeColor="text1"/>
        </w:rPr>
        <w:t>io</w:t>
      </w:r>
      <w:bookmarkEnd w:id="37"/>
      <w:proofErr w:type="spellEnd"/>
    </w:p>
    <w:p w14:paraId="126E4C1C" w14:textId="77777777" w:rsidR="7670D8C4" w:rsidRPr="0081375C" w:rsidRDefault="7670D8C4" w:rsidP="7670D8C4">
      <w:pPr>
        <w:spacing w:line="23" w:lineRule="atLeast"/>
        <w:jc w:val="both"/>
        <w:rPr>
          <w:rFonts w:ascii="Arial" w:eastAsia="Aptos" w:hAnsi="Arial" w:cs="Arial"/>
          <w:color w:val="000000" w:themeColor="text1"/>
        </w:rPr>
      </w:pPr>
    </w:p>
    <w:p w14:paraId="03ED85DD" w14:textId="20A402C3" w:rsidR="5019CF5E" w:rsidRPr="0081375C" w:rsidRDefault="5019CF5E" w:rsidP="7670D8C4">
      <w:pPr>
        <w:spacing w:line="276" w:lineRule="auto"/>
        <w:jc w:val="both"/>
        <w:rPr>
          <w:rFonts w:ascii="Arial" w:eastAsia="Arial" w:hAnsi="Arial" w:cs="Arial"/>
          <w:color w:val="000000" w:themeColor="text1"/>
        </w:rPr>
      </w:pPr>
      <w:r w:rsidRPr="0081375C">
        <w:rPr>
          <w:rFonts w:ascii="Arial" w:eastAsia="Arial" w:hAnsi="Arial" w:cs="Arial"/>
          <w:color w:val="000000" w:themeColor="text1"/>
        </w:rPr>
        <w:t>Una vez calculado el puntaje total ponderado para cada sitio, se asigna una categoría de priorización que ordena el polígono del ecosistema estratégico por su potencial de provisión de servicios ecosistémicos de biodiversidad, con mayor valor ecológico, mayor riesgo de transformación o mayor potencial de recuperación. Las categorías se expresan como rangos del puntaje total ponderado.</w:t>
      </w:r>
    </w:p>
    <w:p w14:paraId="233D5A56" w14:textId="786ADD02" w:rsidR="5019CF5E" w:rsidRPr="0081375C" w:rsidRDefault="5019CF5E" w:rsidP="7670D8C4">
      <w:pPr>
        <w:spacing w:line="276" w:lineRule="auto"/>
        <w:jc w:val="both"/>
        <w:rPr>
          <w:rFonts w:ascii="Arial" w:eastAsia="Arial" w:hAnsi="Arial" w:cs="Arial"/>
          <w:color w:val="000000" w:themeColor="text1"/>
        </w:rPr>
      </w:pPr>
      <w:r w:rsidRPr="0081375C">
        <w:rPr>
          <w:rFonts w:ascii="Arial" w:eastAsia="Arial" w:hAnsi="Arial" w:cs="Arial"/>
          <w:color w:val="000000" w:themeColor="text1"/>
        </w:rPr>
        <w:t xml:space="preserve">  </w:t>
      </w:r>
    </w:p>
    <w:p w14:paraId="17E2D64F" w14:textId="4C808E68" w:rsidR="5019CF5E" w:rsidRPr="0081375C" w:rsidRDefault="5019CF5E" w:rsidP="7670D8C4">
      <w:pPr>
        <w:spacing w:line="276" w:lineRule="auto"/>
        <w:jc w:val="both"/>
        <w:rPr>
          <w:rFonts w:ascii="Arial" w:eastAsia="Arial" w:hAnsi="Arial" w:cs="Arial"/>
          <w:color w:val="000000" w:themeColor="text1"/>
        </w:rPr>
      </w:pPr>
      <w:r w:rsidRPr="0081375C">
        <w:rPr>
          <w:rFonts w:ascii="Arial" w:eastAsia="Arial" w:hAnsi="Arial" w:cs="Arial"/>
          <w:color w:val="000000" w:themeColor="text1"/>
        </w:rPr>
        <w:t>El nivel de prioridad, a partir de la integración ponderada de los criterios de conectividad ecológica, calidad de la vegetación, dinámica de la vegetación, biodiversidad y presión antrópica se categoriza en la siguiente tabla:</w:t>
      </w:r>
    </w:p>
    <w:p w14:paraId="314D2312" w14:textId="77777777" w:rsidR="7670D8C4" w:rsidRPr="0081375C" w:rsidRDefault="7670D8C4" w:rsidP="7670D8C4">
      <w:pPr>
        <w:spacing w:line="23" w:lineRule="atLeast"/>
        <w:jc w:val="both"/>
        <w:rPr>
          <w:rFonts w:ascii="Arial" w:eastAsia="Aptos" w:hAnsi="Arial" w:cs="Arial"/>
          <w:color w:val="000000" w:themeColor="text1"/>
        </w:rPr>
      </w:pPr>
    </w:p>
    <w:p w14:paraId="73DC0605" w14:textId="4D03C393" w:rsidR="5019CF5E" w:rsidRPr="0081375C" w:rsidRDefault="5019CF5E" w:rsidP="7670D8C4">
      <w:pPr>
        <w:spacing w:line="23" w:lineRule="atLeast"/>
        <w:jc w:val="both"/>
        <w:rPr>
          <w:rFonts w:ascii="Arial" w:hAnsi="Arial" w:cs="Arial"/>
          <w:b/>
          <w:bCs/>
          <w:color w:val="000000" w:themeColor="text1"/>
          <w:sz w:val="20"/>
          <w:szCs w:val="20"/>
        </w:rPr>
      </w:pPr>
      <w:bookmarkStart w:id="38" w:name="_Toc233040661"/>
      <w:r w:rsidRPr="0081375C">
        <w:rPr>
          <w:rFonts w:ascii="Arial" w:hAnsi="Arial" w:cs="Arial"/>
          <w:b/>
          <w:bCs/>
          <w:color w:val="000000" w:themeColor="text1"/>
          <w:sz w:val="20"/>
          <w:szCs w:val="20"/>
        </w:rPr>
        <w:t>T</w:t>
      </w:r>
      <w:r w:rsidRPr="0081375C">
        <w:rPr>
          <w:rFonts w:ascii="Arial" w:eastAsiaTheme="minorEastAsia" w:hAnsi="Arial" w:cs="Arial"/>
          <w:b/>
          <w:bCs/>
          <w:color w:val="000000" w:themeColor="text1"/>
          <w:sz w:val="20"/>
          <w:szCs w:val="20"/>
        </w:rPr>
        <w:t xml:space="preserve">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13</w:t>
      </w:r>
      <w:r w:rsidRPr="0081375C">
        <w:rPr>
          <w:rFonts w:ascii="Arial" w:hAnsi="Arial" w:cs="Arial"/>
          <w:b/>
          <w:bCs/>
          <w:color w:val="000000" w:themeColor="text1"/>
          <w:sz w:val="20"/>
          <w:szCs w:val="20"/>
        </w:rPr>
        <w:fldChar w:fldCharType="end"/>
      </w:r>
      <w:r w:rsidRPr="0081375C">
        <w:rPr>
          <w:rFonts w:ascii="Arial" w:eastAsiaTheme="minorEastAsia" w:hAnsi="Arial" w:cs="Arial"/>
          <w:b/>
          <w:bCs/>
          <w:color w:val="000000" w:themeColor="text1"/>
          <w:sz w:val="20"/>
          <w:szCs w:val="20"/>
        </w:rPr>
        <w:t xml:space="preserve"> Categorías de priorización ecosistema estratégico</w:t>
      </w:r>
      <w:bookmarkEnd w:id="38"/>
      <w:r w:rsidRPr="0081375C">
        <w:rPr>
          <w:rFonts w:ascii="Arial" w:eastAsiaTheme="minorEastAsia" w:hAnsi="Arial" w:cs="Arial"/>
          <w:b/>
          <w:bCs/>
          <w:color w:val="000000" w:themeColor="text1"/>
          <w:sz w:val="20"/>
          <w:szCs w:val="20"/>
        </w:rPr>
        <w:t xml:space="preserve"> </w:t>
      </w:r>
    </w:p>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347"/>
      </w:tblGrid>
      <w:tr w:rsidR="7670D8C4" w:rsidRPr="0081375C" w14:paraId="6330EDCD" w14:textId="77777777" w:rsidTr="00083D00">
        <w:trPr>
          <w:trHeight w:val="20"/>
          <w:tblHeader/>
        </w:trPr>
        <w:tc>
          <w:tcPr>
            <w:tcW w:w="2263" w:type="dxa"/>
            <w:tcMar>
              <w:left w:w="105" w:type="dxa"/>
              <w:right w:w="105" w:type="dxa"/>
            </w:tcMar>
            <w:vAlign w:val="center"/>
          </w:tcPr>
          <w:p w14:paraId="2EAFE4FA" w14:textId="35B4A222" w:rsidR="7670D8C4" w:rsidRPr="0081375C" w:rsidRDefault="7670D8C4" w:rsidP="00F070F6">
            <w:pPr>
              <w:spacing w:line="276" w:lineRule="auto"/>
              <w:contextualSpacing/>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Categoría de prioridad</w:t>
            </w:r>
          </w:p>
        </w:tc>
        <w:tc>
          <w:tcPr>
            <w:tcW w:w="6347" w:type="dxa"/>
            <w:tcMar>
              <w:left w:w="105" w:type="dxa"/>
              <w:right w:w="105" w:type="dxa"/>
            </w:tcMar>
            <w:vAlign w:val="center"/>
          </w:tcPr>
          <w:p w14:paraId="10C53648" w14:textId="4F76B73B" w:rsidR="7670D8C4" w:rsidRPr="0081375C" w:rsidRDefault="7670D8C4" w:rsidP="00F070F6">
            <w:pPr>
              <w:spacing w:line="276" w:lineRule="auto"/>
              <w:contextualSpacing/>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Descripción</w:t>
            </w:r>
          </w:p>
        </w:tc>
      </w:tr>
      <w:tr w:rsidR="7670D8C4" w:rsidRPr="0081375C" w14:paraId="57AFFE83" w14:textId="77777777" w:rsidTr="00083D00">
        <w:trPr>
          <w:trHeight w:val="20"/>
        </w:trPr>
        <w:tc>
          <w:tcPr>
            <w:tcW w:w="2263" w:type="dxa"/>
            <w:tcMar>
              <w:left w:w="105" w:type="dxa"/>
              <w:right w:w="105" w:type="dxa"/>
            </w:tcMar>
            <w:vAlign w:val="center"/>
          </w:tcPr>
          <w:p w14:paraId="0A4267FC" w14:textId="4E325349" w:rsidR="7670D8C4" w:rsidRPr="0081375C" w:rsidRDefault="7670D8C4" w:rsidP="00F070F6">
            <w:pPr>
              <w:spacing w:line="276" w:lineRule="auto"/>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Prioridad muy alta</w:t>
            </w:r>
          </w:p>
        </w:tc>
        <w:tc>
          <w:tcPr>
            <w:tcW w:w="6347" w:type="dxa"/>
            <w:tcMar>
              <w:left w:w="105" w:type="dxa"/>
              <w:right w:w="105" w:type="dxa"/>
            </w:tcMar>
            <w:vAlign w:val="center"/>
          </w:tcPr>
          <w:p w14:paraId="4787F095" w14:textId="52ED0BE2" w:rsidR="7670D8C4" w:rsidRPr="0081375C" w:rsidRDefault="7670D8C4" w:rsidP="00F070F6">
            <w:pPr>
              <w:spacing w:line="276" w:lineRule="auto"/>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Sectores que presentan las condiciones ambientales más favorables y estratégicas para la conservación y/o restauración de la biodiversidad. Corresponden a las áreas con mayor puntaje ponderado y, por tanto, constituyen la primera opción para la incorporación de predios al esquema de </w:t>
            </w:r>
            <w:proofErr w:type="spellStart"/>
            <w:r w:rsidRPr="0081375C">
              <w:rPr>
                <w:rFonts w:ascii="Arial" w:eastAsia="Arial" w:hAnsi="Arial" w:cs="Arial"/>
                <w:color w:val="000000" w:themeColor="text1"/>
                <w:sz w:val="20"/>
                <w:szCs w:val="20"/>
              </w:rPr>
              <w:t>PSABio</w:t>
            </w:r>
            <w:proofErr w:type="spellEnd"/>
            <w:r w:rsidRPr="0081375C">
              <w:rPr>
                <w:rFonts w:ascii="Arial" w:eastAsia="Arial" w:hAnsi="Arial" w:cs="Arial"/>
                <w:color w:val="000000" w:themeColor="text1"/>
                <w:sz w:val="20"/>
                <w:szCs w:val="20"/>
              </w:rPr>
              <w:t>. Se representan en el mapa con color rojo.</w:t>
            </w:r>
          </w:p>
        </w:tc>
      </w:tr>
      <w:tr w:rsidR="7670D8C4" w:rsidRPr="0081375C" w14:paraId="2BCB2CBC" w14:textId="77777777" w:rsidTr="00083D00">
        <w:trPr>
          <w:trHeight w:val="20"/>
        </w:trPr>
        <w:tc>
          <w:tcPr>
            <w:tcW w:w="2263" w:type="dxa"/>
            <w:tcMar>
              <w:left w:w="105" w:type="dxa"/>
              <w:right w:w="105" w:type="dxa"/>
            </w:tcMar>
            <w:vAlign w:val="center"/>
          </w:tcPr>
          <w:p w14:paraId="184C14FD" w14:textId="21EEAB3B" w:rsidR="7670D8C4" w:rsidRPr="0081375C" w:rsidRDefault="7670D8C4" w:rsidP="00F070F6">
            <w:pPr>
              <w:spacing w:line="276" w:lineRule="auto"/>
              <w:contextualSpacing/>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Prioridad alta</w:t>
            </w:r>
          </w:p>
        </w:tc>
        <w:tc>
          <w:tcPr>
            <w:tcW w:w="6347" w:type="dxa"/>
            <w:tcMar>
              <w:left w:w="105" w:type="dxa"/>
              <w:right w:w="105" w:type="dxa"/>
            </w:tcMar>
            <w:vAlign w:val="center"/>
          </w:tcPr>
          <w:p w14:paraId="13AE367F" w14:textId="7638857D" w:rsidR="7670D8C4" w:rsidRPr="0081375C" w:rsidRDefault="7670D8C4" w:rsidP="00F070F6">
            <w:pPr>
              <w:spacing w:line="276" w:lineRule="auto"/>
              <w:contextualSpacing/>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Sectores con condiciones ambientales estratégicas para la conservación y/o restauración de la biodiversidad. Presentan una alta relevancia para el cumplimiento de los objetivos del PSA Bio y constituyen la segunda opción para la incorporación de predios al esquema de PSA Bio. Se representan en el mapa con color naranja.</w:t>
            </w:r>
          </w:p>
        </w:tc>
      </w:tr>
      <w:tr w:rsidR="7670D8C4" w:rsidRPr="0081375C" w14:paraId="779E4564" w14:textId="77777777" w:rsidTr="00083D00">
        <w:trPr>
          <w:trHeight w:val="20"/>
        </w:trPr>
        <w:tc>
          <w:tcPr>
            <w:tcW w:w="2263" w:type="dxa"/>
            <w:tcMar>
              <w:left w:w="105" w:type="dxa"/>
              <w:right w:w="105" w:type="dxa"/>
            </w:tcMar>
            <w:vAlign w:val="center"/>
          </w:tcPr>
          <w:p w14:paraId="6DB135E9" w14:textId="071E4837" w:rsidR="7670D8C4" w:rsidRPr="0081375C" w:rsidRDefault="7670D8C4" w:rsidP="00F070F6">
            <w:pPr>
              <w:spacing w:line="276" w:lineRule="auto"/>
              <w:contextualSpacing/>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Prioridad media</w:t>
            </w:r>
          </w:p>
        </w:tc>
        <w:tc>
          <w:tcPr>
            <w:tcW w:w="6347" w:type="dxa"/>
            <w:tcMar>
              <w:left w:w="105" w:type="dxa"/>
              <w:right w:w="105" w:type="dxa"/>
            </w:tcMar>
            <w:vAlign w:val="center"/>
          </w:tcPr>
          <w:p w14:paraId="5589B96F" w14:textId="7DD177C0" w:rsidR="7670D8C4" w:rsidRPr="0081375C" w:rsidRDefault="7670D8C4" w:rsidP="00F070F6">
            <w:pPr>
              <w:spacing w:line="276" w:lineRule="auto"/>
              <w:contextualSpacing/>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Sectores con condiciones ambientales favorables y con potencial para ser incorporados al esquema de PSA Bio, aunque presentan un nivel de priorización menor en comparación con las categorías anteriores. Su selección estará sujeta a la disponibilidad de recursos, el cumplimiento de los requisitos del programa y la necesidad de </w:t>
            </w:r>
            <w:r w:rsidRPr="0081375C">
              <w:rPr>
                <w:rFonts w:ascii="Arial" w:eastAsia="Arial" w:hAnsi="Arial" w:cs="Arial"/>
                <w:color w:val="000000" w:themeColor="text1"/>
                <w:sz w:val="20"/>
                <w:szCs w:val="20"/>
              </w:rPr>
              <w:lastRenderedPageBreak/>
              <w:t>ampliar las áreas de intervención. Se representan en el mapa con color amarillo.</w:t>
            </w:r>
          </w:p>
        </w:tc>
      </w:tr>
    </w:tbl>
    <w:p w14:paraId="42001B69" w14:textId="331FCA0C" w:rsidR="7670D8C4" w:rsidRPr="0081375C" w:rsidRDefault="7670D8C4" w:rsidP="7670D8C4">
      <w:pPr>
        <w:rPr>
          <w:rFonts w:ascii="Arial" w:hAnsi="Arial" w:cs="Arial"/>
        </w:rPr>
      </w:pPr>
    </w:p>
    <w:p w14:paraId="06393244" w14:textId="7646D4CF" w:rsidR="7670D8C4" w:rsidRPr="0081375C" w:rsidRDefault="7670D8C4" w:rsidP="7670D8C4">
      <w:pPr>
        <w:rPr>
          <w:rFonts w:ascii="Arial" w:eastAsia="Arial" w:hAnsi="Arial" w:cs="Arial"/>
        </w:rPr>
      </w:pPr>
    </w:p>
    <w:p w14:paraId="7513E126" w14:textId="22556BD4" w:rsidR="5019CF5E" w:rsidRPr="0081375C" w:rsidRDefault="5019CF5E" w:rsidP="006A39A7">
      <w:pPr>
        <w:rPr>
          <w:rFonts w:ascii="Arial" w:eastAsia="Arial" w:hAnsi="Arial" w:cs="Arial"/>
        </w:rPr>
      </w:pPr>
      <w:bookmarkStart w:id="39" w:name="_Toc233018495"/>
      <w:r w:rsidRPr="0081375C">
        <w:rPr>
          <w:noProof/>
        </w:rPr>
        <w:drawing>
          <wp:inline distT="0" distB="0" distL="0" distR="0" wp14:anchorId="0064B478" wp14:editId="23C46C70">
            <wp:extent cx="5505450" cy="4257675"/>
            <wp:effectExtent l="0" t="0" r="0" b="0"/>
            <wp:docPr id="11508915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92563" name="Picture 542992563"/>
                    <pic:cNvPicPr/>
                  </pic:nvPicPr>
                  <pic:blipFill>
                    <a:blip r:embed="rId19">
                      <a:extLst>
                        <a:ext uri="{28A0092B-C50C-407E-A947-70E740481C1C}">
                          <a14:useLocalDpi xmlns:a14="http://schemas.microsoft.com/office/drawing/2010/main"/>
                        </a:ext>
                      </a:extLst>
                    </a:blip>
                    <a:stretch>
                      <a:fillRect/>
                    </a:stretch>
                  </pic:blipFill>
                  <pic:spPr>
                    <a:xfrm>
                      <a:off x="0" y="0"/>
                      <a:ext cx="5505450" cy="4257675"/>
                    </a:xfrm>
                    <a:prstGeom prst="rect">
                      <a:avLst/>
                    </a:prstGeom>
                  </pic:spPr>
                </pic:pic>
              </a:graphicData>
            </a:graphic>
          </wp:inline>
        </w:drawing>
      </w:r>
      <w:r w:rsidR="009E42DF" w:rsidRPr="0081375C">
        <w:rPr>
          <w:rFonts w:ascii="Arial" w:hAnsi="Arial" w:cs="Arial"/>
          <w:b/>
          <w:bCs/>
          <w:sz w:val="20"/>
          <w:szCs w:val="20"/>
        </w:rPr>
        <w:t xml:space="preserve">Figura </w:t>
      </w:r>
      <w:r w:rsidR="009E42DF" w:rsidRPr="0081375C">
        <w:rPr>
          <w:rFonts w:ascii="Arial" w:hAnsi="Arial" w:cs="Arial"/>
          <w:b/>
          <w:bCs/>
          <w:sz w:val="20"/>
          <w:szCs w:val="20"/>
        </w:rPr>
        <w:fldChar w:fldCharType="begin"/>
      </w:r>
      <w:r w:rsidR="009E42DF" w:rsidRPr="0081375C">
        <w:rPr>
          <w:rFonts w:ascii="Arial" w:hAnsi="Arial" w:cs="Arial"/>
          <w:b/>
          <w:bCs/>
          <w:sz w:val="20"/>
          <w:szCs w:val="20"/>
        </w:rPr>
        <w:instrText xml:space="preserve"> SEQ Figura \* ARABIC </w:instrText>
      </w:r>
      <w:r w:rsidR="009E42DF" w:rsidRPr="0081375C">
        <w:rPr>
          <w:rFonts w:ascii="Arial" w:hAnsi="Arial" w:cs="Arial"/>
          <w:b/>
          <w:bCs/>
          <w:sz w:val="20"/>
          <w:szCs w:val="20"/>
        </w:rPr>
        <w:fldChar w:fldCharType="separate"/>
      </w:r>
      <w:r w:rsidR="008A5833" w:rsidRPr="0081375C">
        <w:rPr>
          <w:rFonts w:ascii="Arial" w:hAnsi="Arial" w:cs="Arial"/>
          <w:b/>
          <w:bCs/>
          <w:noProof/>
          <w:sz w:val="20"/>
          <w:szCs w:val="20"/>
        </w:rPr>
        <w:t>4</w:t>
      </w:r>
      <w:r w:rsidR="009E42DF" w:rsidRPr="0081375C">
        <w:rPr>
          <w:rFonts w:ascii="Arial" w:hAnsi="Arial" w:cs="Arial"/>
          <w:b/>
          <w:bCs/>
          <w:sz w:val="20"/>
          <w:szCs w:val="20"/>
        </w:rPr>
        <w:fldChar w:fldCharType="end"/>
      </w:r>
      <w:r w:rsidRPr="0081375C">
        <w:rPr>
          <w:rFonts w:ascii="Arial" w:eastAsia="Arial" w:hAnsi="Arial" w:cs="Arial"/>
          <w:b/>
          <w:bCs/>
          <w:sz w:val="20"/>
          <w:szCs w:val="20"/>
        </w:rPr>
        <w:t xml:space="preserve">. Áreas elegibles </w:t>
      </w:r>
      <w:r w:rsidR="5A23FBC8" w:rsidRPr="0081375C">
        <w:rPr>
          <w:rFonts w:ascii="Arial" w:eastAsia="Arial" w:hAnsi="Arial" w:cs="Arial"/>
          <w:b/>
          <w:bCs/>
          <w:sz w:val="20"/>
          <w:szCs w:val="20"/>
        </w:rPr>
        <w:t>dentro del del Distrito para</w:t>
      </w:r>
      <w:r w:rsidRPr="0081375C">
        <w:rPr>
          <w:rFonts w:ascii="Arial" w:eastAsia="Arial" w:hAnsi="Arial" w:cs="Arial"/>
          <w:b/>
          <w:bCs/>
          <w:sz w:val="20"/>
          <w:szCs w:val="20"/>
        </w:rPr>
        <w:t xml:space="preserve"> PSA Biodiversidad</w:t>
      </w:r>
      <w:r w:rsidR="36674AD1" w:rsidRPr="0081375C">
        <w:rPr>
          <w:rFonts w:ascii="Arial" w:eastAsia="Arial" w:hAnsi="Arial" w:cs="Arial"/>
          <w:b/>
          <w:bCs/>
          <w:sz w:val="20"/>
          <w:szCs w:val="20"/>
        </w:rPr>
        <w:t xml:space="preserve"> con el nivel </w:t>
      </w:r>
      <w:r w:rsidRPr="0081375C">
        <w:rPr>
          <w:rFonts w:ascii="Arial" w:eastAsia="Arial" w:hAnsi="Arial" w:cs="Arial"/>
          <w:b/>
          <w:bCs/>
          <w:sz w:val="20"/>
          <w:szCs w:val="20"/>
        </w:rPr>
        <w:t>de prioridad.</w:t>
      </w:r>
      <w:bookmarkEnd w:id="39"/>
    </w:p>
    <w:p w14:paraId="08C2456D" w14:textId="77777777" w:rsidR="00CD651A" w:rsidRPr="0081375C" w:rsidRDefault="00CD651A" w:rsidP="003F6B53">
      <w:pPr>
        <w:spacing w:line="23" w:lineRule="atLeast"/>
        <w:jc w:val="both"/>
        <w:rPr>
          <w:rFonts w:ascii="Arial" w:hAnsi="Arial" w:cs="Arial"/>
          <w:bCs/>
          <w:color w:val="000000" w:themeColor="text1"/>
        </w:rPr>
      </w:pPr>
    </w:p>
    <w:p w14:paraId="3CF5F844" w14:textId="5FC9C82B" w:rsidR="00FB1D90" w:rsidRPr="0081375C" w:rsidRDefault="00806784" w:rsidP="002B5538">
      <w:pPr>
        <w:pStyle w:val="Ttulo3"/>
        <w:numPr>
          <w:ilvl w:val="2"/>
          <w:numId w:val="27"/>
        </w:numPr>
        <w:spacing w:beforeAutospacing="0" w:afterAutospacing="0" w:line="23" w:lineRule="atLeast"/>
        <w:rPr>
          <w:color w:val="000000" w:themeColor="text1"/>
          <w:lang w:val="es-CO"/>
        </w:rPr>
      </w:pPr>
      <w:bookmarkStart w:id="40" w:name="_Toc233304173"/>
      <w:r w:rsidRPr="0081375C">
        <w:rPr>
          <w:color w:val="000000" w:themeColor="text1"/>
          <w:lang w:val="es-CO"/>
        </w:rPr>
        <w:t xml:space="preserve">Priorización de </w:t>
      </w:r>
      <w:r w:rsidR="00FB1D90" w:rsidRPr="0081375C">
        <w:rPr>
          <w:color w:val="000000" w:themeColor="text1"/>
          <w:lang w:val="es-CO"/>
        </w:rPr>
        <w:t>p</w:t>
      </w:r>
      <w:r w:rsidRPr="0081375C">
        <w:rPr>
          <w:color w:val="000000" w:themeColor="text1"/>
          <w:lang w:val="es-CO"/>
        </w:rPr>
        <w:t>redios</w:t>
      </w:r>
      <w:bookmarkEnd w:id="40"/>
      <w:r w:rsidR="002A7FE1" w:rsidRPr="0081375C">
        <w:rPr>
          <w:color w:val="000000" w:themeColor="text1"/>
          <w:lang w:val="es-CO"/>
        </w:rPr>
        <w:t xml:space="preserve"> </w:t>
      </w:r>
      <w:r w:rsidR="00FB1D90" w:rsidRPr="0081375C">
        <w:rPr>
          <w:color w:val="000000" w:themeColor="text1"/>
          <w:lang w:val="es-CO"/>
        </w:rPr>
        <w:t>viables para participar en PSA</w:t>
      </w:r>
    </w:p>
    <w:p w14:paraId="43B6FEB6" w14:textId="77777777" w:rsidR="00FB1D90" w:rsidRPr="0081375C" w:rsidRDefault="00FB1D90" w:rsidP="00FB1D90">
      <w:pPr>
        <w:pStyle w:val="Prrafodelista"/>
        <w:spacing w:line="23" w:lineRule="atLeast"/>
        <w:ind w:left="0"/>
        <w:contextualSpacing w:val="0"/>
        <w:mirrorIndents/>
        <w:jc w:val="both"/>
        <w:rPr>
          <w:rFonts w:ascii="Arial" w:eastAsia="Arial" w:hAnsi="Arial" w:cs="Arial"/>
          <w:color w:val="000000" w:themeColor="text1"/>
        </w:rPr>
      </w:pPr>
    </w:p>
    <w:p w14:paraId="1525842F" w14:textId="6C819ED3" w:rsidR="00FB1D90" w:rsidRPr="0081375C" w:rsidRDefault="00FB1D90" w:rsidP="00FB1D90">
      <w:pPr>
        <w:pStyle w:val="Prrafodelista"/>
        <w:spacing w:line="23" w:lineRule="atLeast"/>
        <w:ind w:left="0"/>
        <w:contextualSpacing w:val="0"/>
        <w:mirrorIndents/>
        <w:jc w:val="both"/>
        <w:rPr>
          <w:rFonts w:ascii="Arial" w:eastAsia="Arial" w:hAnsi="Arial" w:cs="Arial"/>
          <w:color w:val="000000" w:themeColor="text1"/>
        </w:rPr>
      </w:pPr>
      <w:r w:rsidRPr="0081375C">
        <w:rPr>
          <w:rFonts w:ascii="Arial" w:eastAsia="Arial" w:hAnsi="Arial" w:cs="Arial"/>
          <w:color w:val="000000" w:themeColor="text1"/>
        </w:rPr>
        <w:t>Este proceso permite establecer la totalidad de predios candidatos al esquema, su orden de atención y los criterios para la resolución de empates. Su finalidad es garantizar mayor eficiencia en la asignación e inversión de los recursos, orientando el incentivo hacia aquellos predios con mayor potencial de provisión de servicios ecosistémicos, mayor presión antrópica y mayor conectividad ecosistémica, en coherencia con los objetivos de la modalidad de PSA que se implemente.</w:t>
      </w:r>
    </w:p>
    <w:p w14:paraId="5B4CBADE" w14:textId="77777777" w:rsidR="00FB1D90" w:rsidRPr="0081375C" w:rsidRDefault="00FB1D90" w:rsidP="00FB1D90">
      <w:pPr>
        <w:pStyle w:val="Prrafodelista"/>
        <w:spacing w:line="23" w:lineRule="atLeast"/>
        <w:ind w:left="0"/>
        <w:contextualSpacing w:val="0"/>
        <w:mirrorIndents/>
        <w:jc w:val="both"/>
        <w:rPr>
          <w:rFonts w:ascii="Arial" w:eastAsia="Arial" w:hAnsi="Arial" w:cs="Arial"/>
          <w:color w:val="000000" w:themeColor="text1"/>
        </w:rPr>
      </w:pPr>
    </w:p>
    <w:p w14:paraId="29A9AE8A" w14:textId="77777777" w:rsidR="00FB1D90" w:rsidRPr="0081375C" w:rsidRDefault="00FB1D90" w:rsidP="00FB1D90">
      <w:p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Toda instancia de priorización, independientemente de la modalidad PSA, requiere los siguientes insumos mínimos: el polígono del área de intervención definido en el alcance territorial del ciclo, los criterios de elegibilidad y la función de puntuación aprobados para la modalidad, el mecanismo de desempate predefinido, el catastro predial del área con identificador CBML, área, y las capas de información geoespacial que la función de puntuación de la modalidad requiera como variables de entrada. La ausencia de cualquiera de estos insumos impide ejecutar la priorización.</w:t>
      </w:r>
    </w:p>
    <w:p w14:paraId="6D99C071" w14:textId="77777777" w:rsidR="00FB1D90" w:rsidRPr="0081375C" w:rsidRDefault="00FB1D90" w:rsidP="00FB1D90">
      <w:pPr>
        <w:spacing w:line="23" w:lineRule="atLeast"/>
        <w:mirrorIndents/>
        <w:jc w:val="both"/>
        <w:rPr>
          <w:rFonts w:ascii="Arial" w:hAnsi="Arial" w:cs="Arial"/>
          <w:color w:val="000000" w:themeColor="text1"/>
        </w:rPr>
      </w:pPr>
    </w:p>
    <w:p w14:paraId="3E78A6DD" w14:textId="77777777" w:rsidR="00FB1D90" w:rsidRPr="0081375C" w:rsidRDefault="00FB1D90" w:rsidP="00FB1D90">
      <w:pPr>
        <w:spacing w:line="23" w:lineRule="atLeast"/>
        <w:mirrorIndents/>
        <w:jc w:val="both"/>
        <w:rPr>
          <w:rFonts w:ascii="Arial" w:hAnsi="Arial" w:cs="Arial"/>
          <w:color w:val="000000" w:themeColor="text1"/>
        </w:rPr>
      </w:pPr>
      <w:r w:rsidRPr="0081375C">
        <w:rPr>
          <w:rFonts w:ascii="Arial" w:eastAsia="Arial" w:hAnsi="Arial" w:cs="Arial"/>
          <w:color w:val="000000" w:themeColor="text1"/>
        </w:rPr>
        <w:t xml:space="preserve">La salida de la priorización está compuesta por tres productos formales: el listado de predios elegibles con puntaje asignado y ordenado de mayor a menor; el registro de predios excluidos, con la justificación explícita del criterio de elegibilidad incumplido en cada caso; y la documentación de la aplicación del mecanismo de desempate cuando este haya operado. Este listado priorizado, en la modalidad que se estipule por la SMA, constituye un insumo en </w:t>
      </w:r>
      <w:proofErr w:type="spellStart"/>
      <w:r w:rsidRPr="0081375C">
        <w:rPr>
          <w:rFonts w:ascii="Arial" w:eastAsia="Arial" w:hAnsi="Arial" w:cs="Arial"/>
          <w:color w:val="000000" w:themeColor="text1"/>
        </w:rPr>
        <w:t>subfases</w:t>
      </w:r>
      <w:proofErr w:type="spellEnd"/>
      <w:r w:rsidRPr="0081375C">
        <w:rPr>
          <w:rFonts w:ascii="Arial" w:eastAsia="Arial" w:hAnsi="Arial" w:cs="Arial"/>
          <w:color w:val="000000" w:themeColor="text1"/>
        </w:rPr>
        <w:t xml:space="preserve"> apertura de convocatoria y divulgación. </w:t>
      </w:r>
    </w:p>
    <w:p w14:paraId="35A630D8" w14:textId="77777777" w:rsidR="00FB1D90" w:rsidRPr="0081375C" w:rsidRDefault="00FB1D90" w:rsidP="00FB1D90">
      <w:pPr>
        <w:spacing w:line="23" w:lineRule="atLeast"/>
        <w:mirrorIndents/>
        <w:jc w:val="both"/>
        <w:rPr>
          <w:rFonts w:ascii="Arial" w:hAnsi="Arial" w:cs="Arial"/>
          <w:color w:val="000000" w:themeColor="text1"/>
        </w:rPr>
      </w:pPr>
    </w:p>
    <w:p w14:paraId="43ACB007" w14:textId="77777777" w:rsidR="00FB1D90" w:rsidRPr="0081375C" w:rsidRDefault="00FB1D90" w:rsidP="00FB1D90">
      <w:p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Toda instancia de priorización sea cual sea la modalidad, debe respetar cinco invariantes:</w:t>
      </w:r>
    </w:p>
    <w:p w14:paraId="52E9C30D" w14:textId="77777777" w:rsidR="00FB1D90" w:rsidRPr="0081375C" w:rsidRDefault="00FB1D90" w:rsidP="00FB1D90">
      <w:pPr>
        <w:spacing w:line="23" w:lineRule="atLeast"/>
        <w:mirrorIndents/>
        <w:jc w:val="both"/>
        <w:rPr>
          <w:rFonts w:ascii="Arial" w:eastAsia="Arial" w:hAnsi="Arial" w:cs="Arial"/>
          <w:color w:val="000000" w:themeColor="text1"/>
        </w:rPr>
      </w:pPr>
    </w:p>
    <w:p w14:paraId="6CECA0A3" w14:textId="77777777" w:rsidR="00FB1D90" w:rsidRPr="0081375C" w:rsidRDefault="00FB1D90" w:rsidP="00FB1D90">
      <w:pPr>
        <w:pStyle w:val="Prrafodelista"/>
        <w:numPr>
          <w:ilvl w:val="0"/>
          <w:numId w:val="19"/>
        </w:num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 xml:space="preserve">No existen exclusiones implícitas. Cada predio excluido se documenta con el criterio incumplido. </w:t>
      </w:r>
    </w:p>
    <w:p w14:paraId="4CDB8207" w14:textId="77777777" w:rsidR="00FB1D90" w:rsidRPr="0081375C" w:rsidRDefault="00FB1D90" w:rsidP="00FB1D90">
      <w:pPr>
        <w:pStyle w:val="Prrafodelista"/>
        <w:numPr>
          <w:ilvl w:val="0"/>
          <w:numId w:val="19"/>
        </w:num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La función de puntuación es pública y se aplica de forma idéntica a todos los predios elegibles, sin tratamientos diferenciales no declarados.</w:t>
      </w:r>
    </w:p>
    <w:p w14:paraId="1C182747" w14:textId="77777777" w:rsidR="00FB1D90" w:rsidRPr="0081375C" w:rsidRDefault="00FB1D90" w:rsidP="00FB1D90">
      <w:pPr>
        <w:pStyle w:val="Prrafodelista"/>
        <w:numPr>
          <w:ilvl w:val="0"/>
          <w:numId w:val="19"/>
        </w:num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 xml:space="preserve">El mecanismo de desempate se define antes de conocer los resultados de la aplicación de la puntuación, no después. </w:t>
      </w:r>
    </w:p>
    <w:p w14:paraId="65A79560" w14:textId="77777777" w:rsidR="00FB1D90" w:rsidRPr="0081375C" w:rsidRDefault="00FB1D90" w:rsidP="00FB1D90">
      <w:pPr>
        <w:pStyle w:val="Prrafodelista"/>
        <w:numPr>
          <w:ilvl w:val="0"/>
          <w:numId w:val="19"/>
        </w:num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 xml:space="preserve">Cada criterio de puntuación es trazable al objetivo de la modalidad o a un supuesto causal de la teoría del cambio. </w:t>
      </w:r>
    </w:p>
    <w:p w14:paraId="691A61C2" w14:textId="77777777" w:rsidR="00FB1D90" w:rsidRPr="0081375C" w:rsidRDefault="00FB1D90" w:rsidP="00FB1D90">
      <w:pPr>
        <w:pStyle w:val="Prrafodelista"/>
        <w:numPr>
          <w:ilvl w:val="0"/>
          <w:numId w:val="19"/>
        </w:num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La incorporación de una nueva modalidad PSA al esquema se realiza como una nueva instancia de priorización, sin modificar la arquitectura definida en esta sección.</w:t>
      </w:r>
    </w:p>
    <w:p w14:paraId="3425402B" w14:textId="77777777" w:rsidR="00FB1D90" w:rsidRPr="0081375C" w:rsidRDefault="00FB1D90" w:rsidP="00FB1D90">
      <w:pPr>
        <w:rPr>
          <w:rFonts w:ascii="Arial" w:hAnsi="Arial" w:cs="Arial"/>
        </w:rPr>
      </w:pPr>
    </w:p>
    <w:p w14:paraId="141B92A8" w14:textId="77777777" w:rsidR="00FB1D90" w:rsidRPr="0081375C" w:rsidRDefault="00FB1D90" w:rsidP="00FB1D90">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Para todo mecanismo de priorización se debe tener en cuenta el Parágrafo 2 del artículo 6 de la Ley 870 de 2017, que establece que </w:t>
      </w:r>
      <w:r w:rsidRPr="0081375C">
        <w:rPr>
          <w:rFonts w:ascii="Arial" w:eastAsia="Arial" w:hAnsi="Arial" w:cs="Arial"/>
          <w:i/>
          <w:color w:val="000000" w:themeColor="text1"/>
        </w:rPr>
        <w:t xml:space="preserve">“Se aplicará este incentivo de manera preferente a quienes sean propietarios, poseedores u ocupantes de buena fe exenta de culpa de pequeña y mediana propiedad con un criterio de priorización basado en el nivel de vulnerabilidad establecido por los indicadores del SISBEN, el censo nacional agropecuario, y los pueblos indígenas y demás grupos étnicos identificados como en peligro de exterminio definidos en el auto 004 de 2009 de la Corte Constitucional o pueblos indígenas que se encuentren en situaciones similares de vulnerabilidad.”. </w:t>
      </w:r>
      <w:r w:rsidRPr="0081375C">
        <w:rPr>
          <w:rFonts w:ascii="Arial" w:eastAsia="Arial" w:hAnsi="Arial" w:cs="Arial"/>
          <w:color w:val="000000" w:themeColor="text1"/>
        </w:rPr>
        <w:t>Por lo anterior, predios que cumplan con estas condiciones tendrán un tratamiento preferente en la revisión de los criterios y condiciones durante la postulación al esquema de Pago por Servicios Ambientales, independientemente de la Modalidad de PSA que se implemente.</w:t>
      </w:r>
    </w:p>
    <w:p w14:paraId="414E6443" w14:textId="77777777" w:rsidR="004A1EB8" w:rsidRPr="0081375C" w:rsidRDefault="004A1EB8" w:rsidP="00FB1D90">
      <w:pPr>
        <w:spacing w:line="23" w:lineRule="atLeast"/>
        <w:jc w:val="both"/>
        <w:rPr>
          <w:rFonts w:ascii="Arial" w:eastAsia="Arial" w:hAnsi="Arial" w:cs="Arial"/>
          <w:color w:val="000000" w:themeColor="text1"/>
        </w:rPr>
      </w:pPr>
    </w:p>
    <w:p w14:paraId="5F52572E" w14:textId="06BD7FE5" w:rsidR="00825D4D" w:rsidRPr="0081375C" w:rsidRDefault="003F7900" w:rsidP="003F7900">
      <w:pPr>
        <w:pStyle w:val="Ttulo4"/>
        <w:numPr>
          <w:ilvl w:val="3"/>
          <w:numId w:val="27"/>
        </w:numPr>
        <w:spacing w:before="0" w:after="0" w:line="23" w:lineRule="atLeast"/>
        <w:rPr>
          <w:rFonts w:eastAsia="Aptos" w:cs="Arial"/>
          <w:bCs/>
          <w:color w:val="000000" w:themeColor="text1"/>
        </w:rPr>
      </w:pPr>
      <w:r w:rsidRPr="0081375C">
        <w:rPr>
          <w:rFonts w:eastAsia="Aptos" w:cs="Arial"/>
          <w:bCs/>
          <w:color w:val="000000" w:themeColor="text1"/>
        </w:rPr>
        <w:lastRenderedPageBreak/>
        <w:t xml:space="preserve">Priorización predios </w:t>
      </w:r>
      <w:proofErr w:type="spellStart"/>
      <w:r w:rsidR="002A7FE1" w:rsidRPr="0081375C">
        <w:rPr>
          <w:rFonts w:eastAsia="Aptos" w:cs="Arial"/>
          <w:bCs/>
          <w:color w:val="000000" w:themeColor="text1"/>
        </w:rPr>
        <w:t>PSABio</w:t>
      </w:r>
      <w:proofErr w:type="spellEnd"/>
    </w:p>
    <w:p w14:paraId="0CAD399A" w14:textId="77777777" w:rsidR="00CD651A" w:rsidRPr="0081375C" w:rsidRDefault="00CD651A" w:rsidP="00CD651A">
      <w:pPr>
        <w:rPr>
          <w:rFonts w:ascii="Arial" w:hAnsi="Arial" w:cs="Arial"/>
        </w:rPr>
      </w:pPr>
    </w:p>
    <w:p w14:paraId="00E24FD3" w14:textId="77777777" w:rsidR="008766FE" w:rsidRPr="0081375C" w:rsidRDefault="008766FE" w:rsidP="008766FE">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El resultado de la priorización del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corresponde a un listado de predios elegibles, organizados de mayor a menor según el puntaje ponderado obtenido. Este puntaje integra dos componentes: el nivel de prioridad del predio, calculado a partir de los criterios establecidos para el </w:t>
      </w:r>
      <w:proofErr w:type="spellStart"/>
      <w:r w:rsidRPr="0081375C">
        <w:rPr>
          <w:rFonts w:ascii="Arial" w:eastAsia="Aptos" w:hAnsi="Arial" w:cs="Arial"/>
          <w:color w:val="000000" w:themeColor="text1"/>
        </w:rPr>
        <w:t>PSABio</w:t>
      </w:r>
      <w:proofErr w:type="spellEnd"/>
      <w:r w:rsidRPr="0081375C">
        <w:rPr>
          <w:rFonts w:ascii="Arial" w:eastAsia="Aptos" w:hAnsi="Arial" w:cs="Arial"/>
          <w:color w:val="000000" w:themeColor="text1"/>
        </w:rPr>
        <w:t xml:space="preserve"> (C1, C2, C3, C4 y C5), con un peso del 60 %, y el modelo de idoneidad de hábitat, con un peso del 40 %.</w:t>
      </w:r>
    </w:p>
    <w:p w14:paraId="051CF7A5" w14:textId="77777777" w:rsidR="008766FE" w:rsidRPr="0081375C" w:rsidRDefault="008766FE" w:rsidP="008766FE">
      <w:pPr>
        <w:spacing w:line="23" w:lineRule="atLeast"/>
        <w:jc w:val="both"/>
        <w:rPr>
          <w:rFonts w:ascii="Arial" w:eastAsia="Aptos" w:hAnsi="Arial" w:cs="Arial"/>
          <w:color w:val="000000" w:themeColor="text1"/>
        </w:rPr>
      </w:pPr>
    </w:p>
    <w:p w14:paraId="43552BF1" w14:textId="77777777" w:rsidR="008766FE" w:rsidRPr="0081375C" w:rsidRDefault="008766FE" w:rsidP="008766FE">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 partir del puntaje ponderado, cada predio se clasifica en un nivel de importancia. Se asigna importancia muy alta a los predios con puntajes iguales o superiores a 4,00; importancia alta a aquellos con puntajes entre 3,00 y 3,99; e importancia media a los predios con puntajes inferiores a 3,00.</w:t>
      </w:r>
    </w:p>
    <w:p w14:paraId="358387F6" w14:textId="77777777" w:rsidR="008766FE" w:rsidRPr="0081375C" w:rsidRDefault="008766FE" w:rsidP="008766FE">
      <w:pPr>
        <w:spacing w:line="23" w:lineRule="atLeast"/>
        <w:jc w:val="both"/>
        <w:rPr>
          <w:rFonts w:ascii="Arial" w:eastAsia="Aptos" w:hAnsi="Arial" w:cs="Arial"/>
          <w:color w:val="000000" w:themeColor="text1"/>
        </w:rPr>
      </w:pPr>
    </w:p>
    <w:p w14:paraId="1203C6EE" w14:textId="103925CB" w:rsidR="008766FE" w:rsidRPr="0081375C" w:rsidRDefault="008766FE" w:rsidP="008766FE">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El listado final incluye, para cada predio, el código CBML, el nivel de prioridad y su calificación, la categoría de idoneidad y su calificación, el puntaje ponderado, el nivel de importancia asignado y la posición ocupada dentro del orden de priorización, así</w:t>
      </w:r>
      <w:r w:rsidRPr="0081375C">
        <w:rPr>
          <w:rFonts w:ascii="Arial" w:hAnsi="Arial"/>
          <w:color w:val="FF0000"/>
        </w:rPr>
        <w:t xml:space="preserve"> </w:t>
      </w:r>
      <w:r w:rsidRPr="0081375C">
        <w:rPr>
          <w:rFonts w:ascii="Arial" w:eastAsia="Aptos" w:hAnsi="Arial" w:cs="Arial"/>
          <w:color w:val="000000" w:themeColor="text1"/>
        </w:rPr>
        <w:t xml:space="preserve">como las especies de </w:t>
      </w:r>
      <w:r w:rsidRPr="0081375C">
        <w:rPr>
          <w:rFonts w:ascii="Arial" w:eastAsia="Aptos" w:hAnsi="Arial" w:cs="Arial"/>
        </w:rPr>
        <w:t xml:space="preserve">importancia </w:t>
      </w:r>
      <w:r w:rsidRPr="0081375C">
        <w:rPr>
          <w:rFonts w:ascii="Arial" w:hAnsi="Arial"/>
        </w:rPr>
        <w:t xml:space="preserve">ecológica </w:t>
      </w:r>
      <w:r w:rsidRPr="0081375C">
        <w:rPr>
          <w:rFonts w:ascii="Arial" w:eastAsia="Aptos" w:hAnsi="Arial" w:cs="Arial"/>
          <w:color w:val="000000" w:themeColor="text1"/>
        </w:rPr>
        <w:t>asociadas.</w:t>
      </w:r>
    </w:p>
    <w:p w14:paraId="35F354C7" w14:textId="77777777" w:rsidR="008766FE" w:rsidRPr="0081375C" w:rsidRDefault="008766FE" w:rsidP="008766FE">
      <w:pPr>
        <w:spacing w:line="23" w:lineRule="atLeast"/>
        <w:jc w:val="both"/>
        <w:rPr>
          <w:rFonts w:ascii="Arial" w:eastAsia="Aptos" w:hAnsi="Arial" w:cs="Arial"/>
          <w:color w:val="000000" w:themeColor="text1"/>
        </w:rPr>
      </w:pPr>
    </w:p>
    <w:p w14:paraId="7E645DD5" w14:textId="2002935B" w:rsidR="00153E08" w:rsidRPr="0081375C" w:rsidRDefault="008766FE" w:rsidP="00153E08">
      <w:pPr>
        <w:spacing w:line="23" w:lineRule="atLeast"/>
        <w:jc w:val="both"/>
        <w:rPr>
          <w:rFonts w:ascii="Arial" w:eastAsia="Aptos" w:hAnsi="Arial" w:cs="Arial"/>
          <w:color w:val="000000" w:themeColor="text1"/>
        </w:rPr>
      </w:pPr>
      <w:r w:rsidRPr="0081375C">
        <w:rPr>
          <w:rFonts w:ascii="Arial" w:hAnsi="Arial"/>
          <w:color w:val="000000" w:themeColor="text1"/>
        </w:rPr>
        <w:t xml:space="preserve">Para la validación de la aplicación del </w:t>
      </w:r>
      <w:proofErr w:type="gramStart"/>
      <w:r w:rsidRPr="0081375C">
        <w:rPr>
          <w:rFonts w:ascii="Arial" w:hAnsi="Arial"/>
          <w:color w:val="000000" w:themeColor="text1"/>
        </w:rPr>
        <w:t>incentivo</w:t>
      </w:r>
      <w:r w:rsidR="00153E08" w:rsidRPr="0081375C">
        <w:rPr>
          <w:rFonts w:ascii="Arial" w:hAnsi="Arial"/>
          <w:color w:val="000000" w:themeColor="text1"/>
        </w:rPr>
        <w:t>,</w:t>
      </w:r>
      <w:r w:rsidRPr="0081375C">
        <w:rPr>
          <w:rFonts w:ascii="Arial" w:hAnsi="Arial"/>
          <w:color w:val="000000" w:themeColor="text1"/>
        </w:rPr>
        <w:t xml:space="preserve">  deberán</w:t>
      </w:r>
      <w:proofErr w:type="gramEnd"/>
      <w:r w:rsidRPr="0081375C">
        <w:rPr>
          <w:rFonts w:ascii="Arial" w:hAnsi="Arial"/>
          <w:color w:val="000000" w:themeColor="text1"/>
        </w:rPr>
        <w:t xml:space="preserve"> excluir</w:t>
      </w:r>
      <w:r w:rsidR="00153E08" w:rsidRPr="0081375C">
        <w:rPr>
          <w:rFonts w:ascii="Arial" w:hAnsi="Arial"/>
          <w:color w:val="000000" w:themeColor="text1"/>
        </w:rPr>
        <w:t>se</w:t>
      </w:r>
      <w:r w:rsidRPr="0081375C">
        <w:rPr>
          <w:rFonts w:ascii="Arial" w:hAnsi="Arial"/>
          <w:color w:val="000000" w:themeColor="text1"/>
        </w:rPr>
        <w:t xml:space="preserve"> del </w:t>
      </w:r>
      <w:r w:rsidRPr="0081375C">
        <w:rPr>
          <w:rFonts w:ascii="Arial" w:hAnsi="Arial"/>
        </w:rPr>
        <w:t>listado final las</w:t>
      </w:r>
      <w:r w:rsidRPr="0081375C">
        <w:rPr>
          <w:rFonts w:ascii="Arial" w:hAnsi="Arial"/>
          <w:color w:val="FF0000"/>
        </w:rPr>
        <w:t xml:space="preserve"> </w:t>
      </w:r>
      <w:r w:rsidRPr="0081375C">
        <w:rPr>
          <w:rFonts w:ascii="Arial" w:hAnsi="Arial"/>
          <w:color w:val="000000" w:themeColor="text1"/>
        </w:rPr>
        <w:t xml:space="preserve">áreas que </w:t>
      </w:r>
      <w:r w:rsidR="00C408DF" w:rsidRPr="0081375C">
        <w:rPr>
          <w:rFonts w:ascii="Arial" w:hAnsi="Arial"/>
          <w:color w:val="000000" w:themeColor="text1"/>
        </w:rPr>
        <w:t xml:space="preserve">actualmente </w:t>
      </w:r>
      <w:r w:rsidRPr="0081375C">
        <w:rPr>
          <w:rFonts w:ascii="Arial" w:hAnsi="Arial"/>
          <w:color w:val="000000" w:themeColor="text1"/>
        </w:rPr>
        <w:t xml:space="preserve">se </w:t>
      </w:r>
      <w:r w:rsidR="00C408DF" w:rsidRPr="0081375C">
        <w:rPr>
          <w:rFonts w:ascii="Arial" w:hAnsi="Arial"/>
          <w:color w:val="000000" w:themeColor="text1"/>
        </w:rPr>
        <w:t xml:space="preserve">encuentren </w:t>
      </w:r>
      <w:r w:rsidRPr="0081375C">
        <w:rPr>
          <w:rFonts w:ascii="Arial" w:hAnsi="Arial"/>
          <w:color w:val="000000" w:themeColor="text1"/>
        </w:rPr>
        <w:t xml:space="preserve">beneficiadas por el PSA Hídrico, </w:t>
      </w:r>
      <w:r w:rsidR="005E1685" w:rsidRPr="0081375C">
        <w:rPr>
          <w:rFonts w:ascii="Arial" w:hAnsi="Arial"/>
          <w:color w:val="000000" w:themeColor="text1"/>
        </w:rPr>
        <w:t xml:space="preserve">toda vez que </w:t>
      </w:r>
      <w:r w:rsidRPr="0081375C">
        <w:rPr>
          <w:rFonts w:ascii="Arial" w:hAnsi="Arial"/>
          <w:color w:val="000000" w:themeColor="text1"/>
        </w:rPr>
        <w:t>una misma área</w:t>
      </w:r>
      <w:r w:rsidR="005E1685" w:rsidRPr="0081375C">
        <w:rPr>
          <w:rFonts w:ascii="Arial" w:hAnsi="Arial"/>
          <w:color w:val="000000" w:themeColor="text1"/>
        </w:rPr>
        <w:t xml:space="preserve">, </w:t>
      </w:r>
      <w:r w:rsidR="005E1685" w:rsidRPr="0081375C">
        <w:rPr>
          <w:rFonts w:ascii="Arial" w:eastAsia="Aptos" w:hAnsi="Arial" w:cs="Arial"/>
          <w:color w:val="000000" w:themeColor="text1"/>
        </w:rPr>
        <w:t>entendida como la superficie de terreno destinada a acciones de preservación o restauración en el marco de un esquema de Pago por Servicios Ambientales (PSA)</w:t>
      </w:r>
      <w:r w:rsidR="00A95980" w:rsidRPr="0081375C">
        <w:rPr>
          <w:rFonts w:ascii="Arial" w:hAnsi="Arial"/>
          <w:color w:val="000000" w:themeColor="text1"/>
        </w:rPr>
        <w:t xml:space="preserve">, </w:t>
      </w:r>
      <w:r w:rsidRPr="0081375C">
        <w:rPr>
          <w:rFonts w:ascii="Arial" w:hAnsi="Arial"/>
          <w:color w:val="000000" w:themeColor="text1"/>
        </w:rPr>
        <w:t xml:space="preserve">no puede </w:t>
      </w:r>
      <w:r w:rsidR="005E1685" w:rsidRPr="0081375C">
        <w:rPr>
          <w:rFonts w:ascii="Arial" w:eastAsia="Aptos" w:hAnsi="Arial" w:cs="Arial"/>
          <w:color w:val="000000" w:themeColor="text1"/>
        </w:rPr>
        <w:t>ser objeto de más de un incentivo ni recibir financiación duplicada por el mismo servicio ambiental</w:t>
      </w:r>
      <w:r w:rsidRPr="0081375C">
        <w:rPr>
          <w:rFonts w:ascii="Arial" w:hAnsi="Arial"/>
          <w:color w:val="000000" w:themeColor="text1"/>
        </w:rPr>
        <w:t>.</w:t>
      </w:r>
      <w:r w:rsidRPr="0081375C">
        <w:rPr>
          <w:rFonts w:ascii="Arial" w:eastAsia="Aptos" w:hAnsi="Arial" w:cs="Arial"/>
          <w:color w:val="000000" w:themeColor="text1"/>
        </w:rPr>
        <w:t xml:space="preserve"> </w:t>
      </w:r>
      <w:r w:rsidR="001B3DAD" w:rsidRPr="0081375C">
        <w:rPr>
          <w:rFonts w:ascii="Arial" w:eastAsia="Aptos" w:hAnsi="Arial" w:cs="Arial"/>
          <w:color w:val="000000" w:themeColor="text1"/>
        </w:rPr>
        <w:t>No obstante, esta restricción no impide que dentro de un mismo predio se implementen diferentes modalidades de PSA, siempre que estas se desarrollen sobre áreas claramente diferenciadas y no se genere una doble remuneración por el mismo servicio ambiental.</w:t>
      </w:r>
      <w:r w:rsidR="00811CB9" w:rsidRPr="0081375C">
        <w:rPr>
          <w:rFonts w:ascii="Arial" w:eastAsia="Aptos" w:hAnsi="Arial" w:cs="Arial"/>
          <w:color w:val="000000" w:themeColor="text1"/>
        </w:rPr>
        <w:t xml:space="preserve"> </w:t>
      </w:r>
      <w:r w:rsidR="00B06357" w:rsidRPr="0081375C">
        <w:rPr>
          <w:rFonts w:ascii="Arial" w:eastAsia="Aptos" w:hAnsi="Arial" w:cs="Arial"/>
          <w:color w:val="000000" w:themeColor="text1"/>
        </w:rPr>
        <w:t xml:space="preserve">Esta particularidad no excluye que en un mismo predio </w:t>
      </w:r>
      <w:r w:rsidR="005A7194" w:rsidRPr="0081375C">
        <w:rPr>
          <w:rFonts w:ascii="Arial" w:eastAsia="Aptos" w:hAnsi="Arial" w:cs="Arial"/>
          <w:color w:val="000000" w:themeColor="text1"/>
        </w:rPr>
        <w:t xml:space="preserve">se puedan presentar </w:t>
      </w:r>
      <w:r w:rsidR="00A33061" w:rsidRPr="0081375C">
        <w:rPr>
          <w:rFonts w:ascii="Arial" w:eastAsia="Aptos" w:hAnsi="Arial" w:cs="Arial"/>
          <w:color w:val="000000" w:themeColor="text1"/>
        </w:rPr>
        <w:t xml:space="preserve">más </w:t>
      </w:r>
      <w:r w:rsidR="005A7194" w:rsidRPr="0081375C">
        <w:rPr>
          <w:rFonts w:ascii="Arial" w:eastAsia="Aptos" w:hAnsi="Arial" w:cs="Arial"/>
          <w:color w:val="000000" w:themeColor="text1"/>
        </w:rPr>
        <w:t>de una modalidad de PSA en áreas diferentes</w:t>
      </w:r>
      <w:r w:rsidR="00A33061" w:rsidRPr="0081375C">
        <w:rPr>
          <w:rFonts w:ascii="Arial" w:eastAsia="Aptos" w:hAnsi="Arial" w:cs="Arial"/>
          <w:color w:val="000000" w:themeColor="text1"/>
        </w:rPr>
        <w:t>.</w:t>
      </w:r>
      <w:r w:rsidR="00B06357" w:rsidRPr="0081375C">
        <w:rPr>
          <w:rFonts w:ascii="Arial" w:eastAsia="Aptos" w:hAnsi="Arial" w:cs="Arial"/>
          <w:color w:val="000000" w:themeColor="text1"/>
        </w:rPr>
        <w:t xml:space="preserve"> </w:t>
      </w:r>
      <w:r w:rsidRPr="0081375C">
        <w:rPr>
          <w:rFonts w:ascii="Arial" w:eastAsia="Aptos" w:hAnsi="Arial" w:cs="Arial"/>
          <w:color w:val="000000" w:themeColor="text1"/>
        </w:rPr>
        <w:t>Las áreas o predios excluidos deberán registrarse en un listado independiente, indicando la justificación correspondiente.</w:t>
      </w:r>
      <w:r w:rsidR="00A33061" w:rsidRPr="0081375C">
        <w:rPr>
          <w:rFonts w:ascii="Arial" w:eastAsia="Aptos" w:hAnsi="Arial" w:cs="Arial"/>
          <w:color w:val="000000" w:themeColor="text1"/>
        </w:rPr>
        <w:t xml:space="preserve"> </w:t>
      </w:r>
      <w:r w:rsidR="00153E08" w:rsidRPr="0081375C">
        <w:rPr>
          <w:rFonts w:ascii="Arial" w:eastAsia="Aptos" w:hAnsi="Arial" w:cs="Arial"/>
          <w:color w:val="000000" w:themeColor="text1"/>
        </w:rPr>
        <w:t>Lo anterior se fundamenta en lo dispuesto por el Decreto 1007 de 2018, incorporado en el artículo 2.2.9.8.2.5, parágrafo 4, el cual establece:</w:t>
      </w:r>
      <w:r w:rsidR="00811CB9" w:rsidRPr="0081375C">
        <w:rPr>
          <w:rFonts w:ascii="Arial" w:eastAsia="Aptos" w:hAnsi="Arial" w:cs="Arial"/>
          <w:color w:val="000000" w:themeColor="text1"/>
        </w:rPr>
        <w:t xml:space="preserve"> </w:t>
      </w:r>
      <w:r w:rsidR="00153E08" w:rsidRPr="0081375C">
        <w:rPr>
          <w:rFonts w:ascii="Arial" w:eastAsia="Aptos" w:hAnsi="Arial" w:cs="Arial"/>
          <w:i/>
          <w:iCs/>
          <w:color w:val="000000" w:themeColor="text1"/>
        </w:rPr>
        <w:t>“Un proyecto de pago por servicios ambientales podrá incluir diferentes modalidades de pago por servicios ambientales en una misma área y ecosistema estratégico, sin que implique que se pague por encima del valor estimado ni que se pague dos o más veces el mismo servicio ambiental por cualquier incentivo.”</w:t>
      </w:r>
    </w:p>
    <w:p w14:paraId="0DBB01E6" w14:textId="77777777" w:rsidR="00153E08" w:rsidRPr="0081375C" w:rsidRDefault="00153E08" w:rsidP="008766FE">
      <w:pPr>
        <w:spacing w:line="23" w:lineRule="atLeast"/>
        <w:jc w:val="both"/>
        <w:rPr>
          <w:rFonts w:ascii="Arial" w:eastAsia="Aptos" w:hAnsi="Arial" w:cs="Arial"/>
          <w:color w:val="000000" w:themeColor="text1"/>
        </w:rPr>
      </w:pPr>
    </w:p>
    <w:p w14:paraId="7D702B68" w14:textId="77777777" w:rsidR="008766FE" w:rsidRPr="0081375C" w:rsidRDefault="008766FE" w:rsidP="008766FE">
      <w:pPr>
        <w:spacing w:line="23" w:lineRule="atLeast"/>
        <w:jc w:val="both"/>
        <w:rPr>
          <w:rFonts w:ascii="Arial" w:hAnsi="Arial" w:cs="Arial"/>
          <w:b/>
          <w:bCs/>
          <w:color w:val="000000" w:themeColor="text1"/>
          <w:sz w:val="20"/>
          <w:szCs w:val="20"/>
        </w:rPr>
      </w:pPr>
    </w:p>
    <w:p w14:paraId="533E2F37" w14:textId="599F8335" w:rsidR="008766FE" w:rsidRPr="0081375C" w:rsidRDefault="008766FE" w:rsidP="008766FE">
      <w:pPr>
        <w:spacing w:line="23" w:lineRule="atLeast"/>
        <w:jc w:val="both"/>
        <w:rPr>
          <w:rFonts w:ascii="Arial" w:hAnsi="Arial" w:cs="Arial"/>
          <w:b/>
          <w:bCs/>
          <w:color w:val="000000" w:themeColor="text1"/>
          <w:sz w:val="20"/>
          <w:szCs w:val="20"/>
        </w:rPr>
      </w:pPr>
      <w:bookmarkStart w:id="41" w:name="_Toc233040665"/>
      <w:r w:rsidRPr="0081375C">
        <w:rPr>
          <w:rFonts w:ascii="Arial" w:hAnsi="Arial" w:cs="Arial"/>
          <w:b/>
          <w:color w:val="000000" w:themeColor="text1"/>
          <w:sz w:val="20"/>
          <w:szCs w:val="20"/>
        </w:rPr>
        <w:t>T</w:t>
      </w:r>
      <w:r w:rsidRPr="0081375C">
        <w:rPr>
          <w:rFonts w:ascii="Arial" w:eastAsia="Arial" w:hAnsi="Arial" w:cs="Arial"/>
          <w:b/>
          <w:bCs/>
          <w:color w:val="000000" w:themeColor="text1"/>
          <w:sz w:val="20"/>
          <w:szCs w:val="20"/>
        </w:rPr>
        <w:t xml:space="preserve">abla </w:t>
      </w:r>
      <w:r w:rsidRPr="0081375C">
        <w:rPr>
          <w:rFonts w:ascii="Arial" w:eastAsia="Arial" w:hAnsi="Arial" w:cs="Arial"/>
          <w:b/>
          <w:bCs/>
          <w:color w:val="000000" w:themeColor="text1"/>
          <w:sz w:val="20"/>
          <w:szCs w:val="20"/>
        </w:rPr>
        <w:fldChar w:fldCharType="begin"/>
      </w:r>
      <w:r w:rsidRPr="0081375C">
        <w:rPr>
          <w:rFonts w:ascii="Arial" w:eastAsia="Arial" w:hAnsi="Arial" w:cs="Arial"/>
          <w:b/>
          <w:bCs/>
          <w:color w:val="000000" w:themeColor="text1"/>
          <w:sz w:val="20"/>
          <w:szCs w:val="20"/>
        </w:rPr>
        <w:instrText xml:space="preserve"> SEQ Tabla \* ARABIC </w:instrText>
      </w:r>
      <w:r w:rsidRPr="0081375C">
        <w:rPr>
          <w:rFonts w:ascii="Arial" w:eastAsia="Arial" w:hAnsi="Arial" w:cs="Arial"/>
          <w:b/>
          <w:bCs/>
          <w:color w:val="000000" w:themeColor="text1"/>
          <w:sz w:val="20"/>
          <w:szCs w:val="20"/>
        </w:rPr>
        <w:fldChar w:fldCharType="separate"/>
      </w:r>
      <w:r w:rsidR="00921CE3" w:rsidRPr="0081375C">
        <w:rPr>
          <w:rFonts w:ascii="Arial" w:eastAsia="Arial" w:hAnsi="Arial" w:cs="Arial"/>
          <w:b/>
          <w:bCs/>
          <w:noProof/>
          <w:color w:val="000000" w:themeColor="text1"/>
          <w:sz w:val="20"/>
          <w:szCs w:val="20"/>
        </w:rPr>
        <w:t>14</w:t>
      </w:r>
      <w:r w:rsidRPr="0081375C">
        <w:rPr>
          <w:rFonts w:ascii="Arial" w:eastAsia="Arial" w:hAnsi="Arial" w:cs="Arial"/>
          <w:b/>
          <w:bCs/>
          <w:color w:val="000000" w:themeColor="text1"/>
          <w:sz w:val="20"/>
          <w:szCs w:val="20"/>
        </w:rPr>
        <w:fldChar w:fldCharType="end"/>
      </w:r>
      <w:r w:rsidRPr="0081375C">
        <w:rPr>
          <w:rFonts w:ascii="Arial" w:eastAsia="Arial" w:hAnsi="Arial" w:cs="Arial"/>
          <w:b/>
          <w:bCs/>
          <w:color w:val="000000" w:themeColor="text1"/>
          <w:sz w:val="20"/>
          <w:szCs w:val="20"/>
        </w:rPr>
        <w:t xml:space="preserve">. Ponderación para la selección de predios </w:t>
      </w:r>
      <w:proofErr w:type="spellStart"/>
      <w:r w:rsidRPr="0081375C">
        <w:rPr>
          <w:rFonts w:ascii="Arial" w:eastAsia="Arial" w:hAnsi="Arial" w:cs="Arial"/>
          <w:b/>
          <w:bCs/>
          <w:color w:val="000000" w:themeColor="text1"/>
          <w:sz w:val="20"/>
          <w:szCs w:val="20"/>
        </w:rPr>
        <w:t>PSABio</w:t>
      </w:r>
      <w:bookmarkEnd w:id="41"/>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98"/>
        <w:gridCol w:w="1210"/>
        <w:gridCol w:w="1083"/>
        <w:gridCol w:w="977"/>
        <w:gridCol w:w="1154"/>
        <w:gridCol w:w="976"/>
        <w:gridCol w:w="1067"/>
        <w:gridCol w:w="1171"/>
      </w:tblGrid>
      <w:tr w:rsidR="008766FE" w:rsidRPr="0081375C" w14:paraId="67A618E4" w14:textId="77777777" w:rsidTr="008D3E59">
        <w:trPr>
          <w:trHeight w:val="20"/>
          <w:tblHeader/>
        </w:trPr>
        <w:tc>
          <w:tcPr>
            <w:tcW w:w="8580" w:type="dxa"/>
            <w:gridSpan w:val="8"/>
            <w:tcMar>
              <w:top w:w="15" w:type="dxa"/>
              <w:left w:w="15" w:type="dxa"/>
              <w:right w:w="15" w:type="dxa"/>
            </w:tcMar>
            <w:vAlign w:val="center"/>
          </w:tcPr>
          <w:p w14:paraId="13A62354"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Tabla de ponderación para la selección de predios</w:t>
            </w:r>
          </w:p>
        </w:tc>
      </w:tr>
      <w:tr w:rsidR="008766FE" w:rsidRPr="0081375C" w14:paraId="61144C39" w14:textId="77777777" w:rsidTr="008D3E59">
        <w:trPr>
          <w:trHeight w:val="20"/>
          <w:tblHeader/>
        </w:trPr>
        <w:tc>
          <w:tcPr>
            <w:tcW w:w="930" w:type="dxa"/>
            <w:tcMar>
              <w:top w:w="15" w:type="dxa"/>
              <w:left w:w="15" w:type="dxa"/>
              <w:right w:w="15" w:type="dxa"/>
            </w:tcMar>
            <w:vAlign w:val="center"/>
          </w:tcPr>
          <w:p w14:paraId="6A15D8B0"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Nivel de prioridad (NP)</w:t>
            </w:r>
          </w:p>
        </w:tc>
        <w:tc>
          <w:tcPr>
            <w:tcW w:w="1200" w:type="dxa"/>
            <w:tcMar>
              <w:top w:w="15" w:type="dxa"/>
              <w:left w:w="15" w:type="dxa"/>
              <w:right w:w="15" w:type="dxa"/>
            </w:tcMar>
            <w:vAlign w:val="center"/>
          </w:tcPr>
          <w:p w14:paraId="6326CD6C"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Calificación NP</w:t>
            </w:r>
          </w:p>
        </w:tc>
        <w:tc>
          <w:tcPr>
            <w:tcW w:w="585" w:type="dxa"/>
            <w:tcMar>
              <w:top w:w="15" w:type="dxa"/>
              <w:left w:w="15" w:type="dxa"/>
              <w:right w:w="15" w:type="dxa"/>
            </w:tcMar>
            <w:vAlign w:val="center"/>
          </w:tcPr>
          <w:p w14:paraId="62A3A13E"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Peso NP</w:t>
            </w:r>
          </w:p>
        </w:tc>
        <w:tc>
          <w:tcPr>
            <w:tcW w:w="1050" w:type="dxa"/>
            <w:tcMar>
              <w:top w:w="15" w:type="dxa"/>
              <w:left w:w="15" w:type="dxa"/>
              <w:right w:w="15" w:type="dxa"/>
            </w:tcMar>
            <w:vAlign w:val="center"/>
          </w:tcPr>
          <w:p w14:paraId="3A6DAEC6"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Idoneidad de hábitat</w:t>
            </w:r>
          </w:p>
        </w:tc>
        <w:tc>
          <w:tcPr>
            <w:tcW w:w="1200" w:type="dxa"/>
            <w:tcMar>
              <w:top w:w="15" w:type="dxa"/>
              <w:left w:w="15" w:type="dxa"/>
              <w:right w:w="15" w:type="dxa"/>
            </w:tcMar>
            <w:vAlign w:val="center"/>
          </w:tcPr>
          <w:p w14:paraId="1CD6C74F"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Calificación idoneidad</w:t>
            </w:r>
          </w:p>
        </w:tc>
        <w:tc>
          <w:tcPr>
            <w:tcW w:w="1020" w:type="dxa"/>
            <w:tcMar>
              <w:top w:w="15" w:type="dxa"/>
              <w:left w:w="15" w:type="dxa"/>
              <w:right w:w="15" w:type="dxa"/>
            </w:tcMar>
            <w:vAlign w:val="center"/>
          </w:tcPr>
          <w:p w14:paraId="76A8F252"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Peso idoneidad</w:t>
            </w:r>
          </w:p>
        </w:tc>
        <w:tc>
          <w:tcPr>
            <w:tcW w:w="1185" w:type="dxa"/>
            <w:tcMar>
              <w:top w:w="15" w:type="dxa"/>
              <w:left w:w="15" w:type="dxa"/>
              <w:right w:w="15" w:type="dxa"/>
            </w:tcMar>
            <w:vAlign w:val="center"/>
          </w:tcPr>
          <w:p w14:paraId="4A651EB6"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Puntaje ponderado</w:t>
            </w:r>
          </w:p>
        </w:tc>
        <w:tc>
          <w:tcPr>
            <w:tcW w:w="1410" w:type="dxa"/>
            <w:tcMar>
              <w:top w:w="15" w:type="dxa"/>
              <w:left w:w="15" w:type="dxa"/>
              <w:right w:w="15" w:type="dxa"/>
            </w:tcMar>
            <w:vAlign w:val="center"/>
          </w:tcPr>
          <w:p w14:paraId="24580DC0" w14:textId="77777777" w:rsidR="008766FE" w:rsidRPr="0081375C" w:rsidRDefault="008766FE" w:rsidP="008D3E59">
            <w:pPr>
              <w:jc w:val="center"/>
              <w:rPr>
                <w:rFonts w:ascii="Arial" w:hAnsi="Arial"/>
                <w:b/>
                <w:color w:val="000000" w:themeColor="text1"/>
                <w:sz w:val="20"/>
              </w:rPr>
            </w:pPr>
            <w:r w:rsidRPr="0081375C">
              <w:rPr>
                <w:rFonts w:ascii="Arial" w:hAnsi="Arial"/>
                <w:b/>
                <w:color w:val="000000" w:themeColor="text1"/>
                <w:sz w:val="20"/>
              </w:rPr>
              <w:t>Nivel de importancia</w:t>
            </w:r>
          </w:p>
        </w:tc>
      </w:tr>
      <w:tr w:rsidR="008766FE" w:rsidRPr="0081375C" w14:paraId="6BB973F6" w14:textId="77777777" w:rsidTr="008D3E59">
        <w:trPr>
          <w:trHeight w:val="20"/>
        </w:trPr>
        <w:tc>
          <w:tcPr>
            <w:tcW w:w="930" w:type="dxa"/>
            <w:tcMar>
              <w:top w:w="15" w:type="dxa"/>
              <w:left w:w="15" w:type="dxa"/>
              <w:right w:w="15" w:type="dxa"/>
            </w:tcMar>
            <w:vAlign w:val="center"/>
          </w:tcPr>
          <w:p w14:paraId="62BD1FDD"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Alto</w:t>
            </w:r>
          </w:p>
        </w:tc>
        <w:tc>
          <w:tcPr>
            <w:tcW w:w="1200" w:type="dxa"/>
            <w:tcMar>
              <w:top w:w="15" w:type="dxa"/>
              <w:left w:w="15" w:type="dxa"/>
              <w:right w:w="15" w:type="dxa"/>
            </w:tcMar>
            <w:vAlign w:val="center"/>
          </w:tcPr>
          <w:p w14:paraId="0C7C567A"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w:t>
            </w:r>
          </w:p>
        </w:tc>
        <w:tc>
          <w:tcPr>
            <w:tcW w:w="585" w:type="dxa"/>
            <w:tcMar>
              <w:top w:w="15" w:type="dxa"/>
              <w:left w:w="15" w:type="dxa"/>
              <w:right w:w="15" w:type="dxa"/>
            </w:tcMar>
            <w:vAlign w:val="center"/>
          </w:tcPr>
          <w:p w14:paraId="190E3D18"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524A9317"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Alta</w:t>
            </w:r>
          </w:p>
        </w:tc>
        <w:tc>
          <w:tcPr>
            <w:tcW w:w="1200" w:type="dxa"/>
            <w:tcMar>
              <w:top w:w="15" w:type="dxa"/>
              <w:left w:w="15" w:type="dxa"/>
              <w:right w:w="15" w:type="dxa"/>
            </w:tcMar>
            <w:vAlign w:val="center"/>
          </w:tcPr>
          <w:p w14:paraId="11F9BD3D"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5</w:t>
            </w:r>
          </w:p>
        </w:tc>
        <w:tc>
          <w:tcPr>
            <w:tcW w:w="1020" w:type="dxa"/>
            <w:tcMar>
              <w:top w:w="15" w:type="dxa"/>
              <w:left w:w="15" w:type="dxa"/>
              <w:right w:w="15" w:type="dxa"/>
            </w:tcMar>
            <w:vAlign w:val="center"/>
          </w:tcPr>
          <w:p w14:paraId="34DD858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3157967B"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4,40</w:t>
            </w:r>
          </w:p>
        </w:tc>
        <w:tc>
          <w:tcPr>
            <w:tcW w:w="1410" w:type="dxa"/>
            <w:tcMar>
              <w:top w:w="15" w:type="dxa"/>
              <w:left w:w="15" w:type="dxa"/>
              <w:right w:w="15" w:type="dxa"/>
            </w:tcMar>
            <w:vAlign w:val="center"/>
          </w:tcPr>
          <w:p w14:paraId="0834C6C0"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Muy alta</w:t>
            </w:r>
          </w:p>
        </w:tc>
      </w:tr>
      <w:tr w:rsidR="008766FE" w:rsidRPr="0081375C" w14:paraId="71E3F4D0" w14:textId="77777777" w:rsidTr="008D3E59">
        <w:trPr>
          <w:trHeight w:val="20"/>
        </w:trPr>
        <w:tc>
          <w:tcPr>
            <w:tcW w:w="930" w:type="dxa"/>
            <w:tcMar>
              <w:top w:w="15" w:type="dxa"/>
              <w:left w:w="15" w:type="dxa"/>
              <w:right w:w="15" w:type="dxa"/>
            </w:tcMar>
            <w:vAlign w:val="center"/>
          </w:tcPr>
          <w:p w14:paraId="44A297C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lastRenderedPageBreak/>
              <w:t>Muy alto</w:t>
            </w:r>
          </w:p>
        </w:tc>
        <w:tc>
          <w:tcPr>
            <w:tcW w:w="1200" w:type="dxa"/>
            <w:tcMar>
              <w:top w:w="15" w:type="dxa"/>
              <w:left w:w="15" w:type="dxa"/>
              <w:right w:w="15" w:type="dxa"/>
            </w:tcMar>
            <w:vAlign w:val="center"/>
          </w:tcPr>
          <w:p w14:paraId="2CA4BCD4"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5</w:t>
            </w:r>
          </w:p>
        </w:tc>
        <w:tc>
          <w:tcPr>
            <w:tcW w:w="585" w:type="dxa"/>
            <w:tcMar>
              <w:top w:w="15" w:type="dxa"/>
              <w:left w:w="15" w:type="dxa"/>
              <w:right w:w="15" w:type="dxa"/>
            </w:tcMar>
            <w:vAlign w:val="center"/>
          </w:tcPr>
          <w:p w14:paraId="46ECD234"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0648EFC8"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Media</w:t>
            </w:r>
          </w:p>
        </w:tc>
        <w:tc>
          <w:tcPr>
            <w:tcW w:w="1200" w:type="dxa"/>
            <w:tcMar>
              <w:top w:w="15" w:type="dxa"/>
              <w:left w:w="15" w:type="dxa"/>
              <w:right w:w="15" w:type="dxa"/>
            </w:tcMar>
            <w:vAlign w:val="center"/>
          </w:tcPr>
          <w:p w14:paraId="37238BCC"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w:t>
            </w:r>
          </w:p>
        </w:tc>
        <w:tc>
          <w:tcPr>
            <w:tcW w:w="1020" w:type="dxa"/>
            <w:tcMar>
              <w:top w:w="15" w:type="dxa"/>
              <w:left w:w="15" w:type="dxa"/>
              <w:right w:w="15" w:type="dxa"/>
            </w:tcMar>
            <w:vAlign w:val="center"/>
          </w:tcPr>
          <w:p w14:paraId="69B6D72A"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26696018"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4,20</w:t>
            </w:r>
          </w:p>
        </w:tc>
        <w:tc>
          <w:tcPr>
            <w:tcW w:w="1410" w:type="dxa"/>
            <w:tcMar>
              <w:top w:w="15" w:type="dxa"/>
              <w:left w:w="15" w:type="dxa"/>
              <w:right w:w="15" w:type="dxa"/>
            </w:tcMar>
            <w:vAlign w:val="center"/>
          </w:tcPr>
          <w:p w14:paraId="33983988"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Muy alta</w:t>
            </w:r>
          </w:p>
        </w:tc>
      </w:tr>
      <w:tr w:rsidR="008766FE" w:rsidRPr="0081375C" w14:paraId="0074715D" w14:textId="77777777" w:rsidTr="008D3E59">
        <w:trPr>
          <w:trHeight w:val="20"/>
        </w:trPr>
        <w:tc>
          <w:tcPr>
            <w:tcW w:w="930" w:type="dxa"/>
            <w:tcMar>
              <w:top w:w="15" w:type="dxa"/>
              <w:left w:w="15" w:type="dxa"/>
              <w:right w:w="15" w:type="dxa"/>
            </w:tcMar>
            <w:vAlign w:val="center"/>
          </w:tcPr>
          <w:p w14:paraId="5133CAAB"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Medio</w:t>
            </w:r>
          </w:p>
        </w:tc>
        <w:tc>
          <w:tcPr>
            <w:tcW w:w="1200" w:type="dxa"/>
            <w:tcMar>
              <w:top w:w="15" w:type="dxa"/>
              <w:left w:w="15" w:type="dxa"/>
              <w:right w:w="15" w:type="dxa"/>
            </w:tcMar>
            <w:vAlign w:val="center"/>
          </w:tcPr>
          <w:p w14:paraId="4AF2ECBE"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w:t>
            </w:r>
          </w:p>
        </w:tc>
        <w:tc>
          <w:tcPr>
            <w:tcW w:w="585" w:type="dxa"/>
            <w:tcMar>
              <w:top w:w="15" w:type="dxa"/>
              <w:left w:w="15" w:type="dxa"/>
              <w:right w:w="15" w:type="dxa"/>
            </w:tcMar>
            <w:vAlign w:val="center"/>
          </w:tcPr>
          <w:p w14:paraId="64712111"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630E8687"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Alta</w:t>
            </w:r>
          </w:p>
        </w:tc>
        <w:tc>
          <w:tcPr>
            <w:tcW w:w="1200" w:type="dxa"/>
            <w:tcMar>
              <w:top w:w="15" w:type="dxa"/>
              <w:left w:w="15" w:type="dxa"/>
              <w:right w:w="15" w:type="dxa"/>
            </w:tcMar>
            <w:vAlign w:val="center"/>
          </w:tcPr>
          <w:p w14:paraId="3F4BE4D3"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5</w:t>
            </w:r>
          </w:p>
        </w:tc>
        <w:tc>
          <w:tcPr>
            <w:tcW w:w="1020" w:type="dxa"/>
            <w:tcMar>
              <w:top w:w="15" w:type="dxa"/>
              <w:left w:w="15" w:type="dxa"/>
              <w:right w:w="15" w:type="dxa"/>
            </w:tcMar>
            <w:vAlign w:val="center"/>
          </w:tcPr>
          <w:p w14:paraId="5D964F30"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6A68CACA"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3,80</w:t>
            </w:r>
          </w:p>
        </w:tc>
        <w:tc>
          <w:tcPr>
            <w:tcW w:w="1410" w:type="dxa"/>
            <w:tcMar>
              <w:top w:w="15" w:type="dxa"/>
              <w:left w:w="15" w:type="dxa"/>
              <w:right w:w="15" w:type="dxa"/>
            </w:tcMar>
            <w:vAlign w:val="center"/>
          </w:tcPr>
          <w:p w14:paraId="513885DE"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Alta</w:t>
            </w:r>
          </w:p>
        </w:tc>
      </w:tr>
      <w:tr w:rsidR="008766FE" w:rsidRPr="0081375C" w14:paraId="1288EFD8" w14:textId="77777777" w:rsidTr="008D3E59">
        <w:trPr>
          <w:trHeight w:val="20"/>
        </w:trPr>
        <w:tc>
          <w:tcPr>
            <w:tcW w:w="930" w:type="dxa"/>
            <w:tcMar>
              <w:top w:w="15" w:type="dxa"/>
              <w:left w:w="15" w:type="dxa"/>
              <w:right w:w="15" w:type="dxa"/>
            </w:tcMar>
            <w:vAlign w:val="center"/>
          </w:tcPr>
          <w:p w14:paraId="0E2DBCDA"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Alto</w:t>
            </w:r>
          </w:p>
        </w:tc>
        <w:tc>
          <w:tcPr>
            <w:tcW w:w="1200" w:type="dxa"/>
            <w:tcMar>
              <w:top w:w="15" w:type="dxa"/>
              <w:left w:w="15" w:type="dxa"/>
              <w:right w:w="15" w:type="dxa"/>
            </w:tcMar>
            <w:vAlign w:val="center"/>
          </w:tcPr>
          <w:p w14:paraId="0BB2B64A"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w:t>
            </w:r>
          </w:p>
        </w:tc>
        <w:tc>
          <w:tcPr>
            <w:tcW w:w="585" w:type="dxa"/>
            <w:tcMar>
              <w:top w:w="15" w:type="dxa"/>
              <w:left w:w="15" w:type="dxa"/>
              <w:right w:w="15" w:type="dxa"/>
            </w:tcMar>
            <w:vAlign w:val="center"/>
          </w:tcPr>
          <w:p w14:paraId="6207F19C"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65CCE31F"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Media</w:t>
            </w:r>
          </w:p>
        </w:tc>
        <w:tc>
          <w:tcPr>
            <w:tcW w:w="1200" w:type="dxa"/>
            <w:tcMar>
              <w:top w:w="15" w:type="dxa"/>
              <w:left w:w="15" w:type="dxa"/>
              <w:right w:w="15" w:type="dxa"/>
            </w:tcMar>
            <w:vAlign w:val="center"/>
          </w:tcPr>
          <w:p w14:paraId="0031FE9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w:t>
            </w:r>
          </w:p>
        </w:tc>
        <w:tc>
          <w:tcPr>
            <w:tcW w:w="1020" w:type="dxa"/>
            <w:tcMar>
              <w:top w:w="15" w:type="dxa"/>
              <w:left w:w="15" w:type="dxa"/>
              <w:right w:w="15" w:type="dxa"/>
            </w:tcMar>
            <w:vAlign w:val="center"/>
          </w:tcPr>
          <w:p w14:paraId="18FFE68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2C3AB6F0"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3,60</w:t>
            </w:r>
          </w:p>
        </w:tc>
        <w:tc>
          <w:tcPr>
            <w:tcW w:w="1410" w:type="dxa"/>
            <w:tcMar>
              <w:top w:w="15" w:type="dxa"/>
              <w:left w:w="15" w:type="dxa"/>
              <w:right w:w="15" w:type="dxa"/>
            </w:tcMar>
            <w:vAlign w:val="center"/>
          </w:tcPr>
          <w:p w14:paraId="6388CF63"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Alta</w:t>
            </w:r>
          </w:p>
        </w:tc>
      </w:tr>
      <w:tr w:rsidR="008766FE" w:rsidRPr="0081375C" w14:paraId="1EFF3581" w14:textId="77777777" w:rsidTr="008D3E59">
        <w:trPr>
          <w:trHeight w:val="20"/>
        </w:trPr>
        <w:tc>
          <w:tcPr>
            <w:tcW w:w="930" w:type="dxa"/>
            <w:tcMar>
              <w:top w:w="15" w:type="dxa"/>
              <w:left w:w="15" w:type="dxa"/>
              <w:right w:w="15" w:type="dxa"/>
            </w:tcMar>
            <w:vAlign w:val="center"/>
          </w:tcPr>
          <w:p w14:paraId="2A65F40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Muy alto</w:t>
            </w:r>
          </w:p>
        </w:tc>
        <w:tc>
          <w:tcPr>
            <w:tcW w:w="1200" w:type="dxa"/>
            <w:tcMar>
              <w:top w:w="15" w:type="dxa"/>
              <w:left w:w="15" w:type="dxa"/>
              <w:right w:w="15" w:type="dxa"/>
            </w:tcMar>
            <w:vAlign w:val="center"/>
          </w:tcPr>
          <w:p w14:paraId="244EAF98"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5</w:t>
            </w:r>
          </w:p>
        </w:tc>
        <w:tc>
          <w:tcPr>
            <w:tcW w:w="585" w:type="dxa"/>
            <w:tcMar>
              <w:top w:w="15" w:type="dxa"/>
              <w:left w:w="15" w:type="dxa"/>
              <w:right w:w="15" w:type="dxa"/>
            </w:tcMar>
            <w:vAlign w:val="center"/>
          </w:tcPr>
          <w:p w14:paraId="79B31CE7"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6768BD15"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Baja</w:t>
            </w:r>
          </w:p>
        </w:tc>
        <w:tc>
          <w:tcPr>
            <w:tcW w:w="1200" w:type="dxa"/>
            <w:tcMar>
              <w:top w:w="15" w:type="dxa"/>
              <w:left w:w="15" w:type="dxa"/>
              <w:right w:w="15" w:type="dxa"/>
            </w:tcMar>
            <w:vAlign w:val="center"/>
          </w:tcPr>
          <w:p w14:paraId="382AAF83"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1</w:t>
            </w:r>
          </w:p>
        </w:tc>
        <w:tc>
          <w:tcPr>
            <w:tcW w:w="1020" w:type="dxa"/>
            <w:tcMar>
              <w:top w:w="15" w:type="dxa"/>
              <w:left w:w="15" w:type="dxa"/>
              <w:right w:w="15" w:type="dxa"/>
            </w:tcMar>
            <w:vAlign w:val="center"/>
          </w:tcPr>
          <w:p w14:paraId="589C091C"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75164CD0"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3,40</w:t>
            </w:r>
          </w:p>
        </w:tc>
        <w:tc>
          <w:tcPr>
            <w:tcW w:w="1410" w:type="dxa"/>
            <w:tcMar>
              <w:top w:w="15" w:type="dxa"/>
              <w:left w:w="15" w:type="dxa"/>
              <w:right w:w="15" w:type="dxa"/>
            </w:tcMar>
            <w:vAlign w:val="center"/>
          </w:tcPr>
          <w:p w14:paraId="738DB900"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Alta</w:t>
            </w:r>
          </w:p>
        </w:tc>
      </w:tr>
      <w:tr w:rsidR="008766FE" w:rsidRPr="0081375C" w14:paraId="46822DEF" w14:textId="77777777" w:rsidTr="008D3E59">
        <w:trPr>
          <w:trHeight w:val="20"/>
        </w:trPr>
        <w:tc>
          <w:tcPr>
            <w:tcW w:w="930" w:type="dxa"/>
            <w:tcMar>
              <w:top w:w="15" w:type="dxa"/>
              <w:left w:w="15" w:type="dxa"/>
              <w:right w:w="15" w:type="dxa"/>
            </w:tcMar>
            <w:vAlign w:val="center"/>
          </w:tcPr>
          <w:p w14:paraId="3FB45D1F"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Medio</w:t>
            </w:r>
          </w:p>
        </w:tc>
        <w:tc>
          <w:tcPr>
            <w:tcW w:w="1200" w:type="dxa"/>
            <w:tcMar>
              <w:top w:w="15" w:type="dxa"/>
              <w:left w:w="15" w:type="dxa"/>
              <w:right w:w="15" w:type="dxa"/>
            </w:tcMar>
            <w:vAlign w:val="center"/>
          </w:tcPr>
          <w:p w14:paraId="05653E24"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w:t>
            </w:r>
          </w:p>
        </w:tc>
        <w:tc>
          <w:tcPr>
            <w:tcW w:w="585" w:type="dxa"/>
            <w:tcMar>
              <w:top w:w="15" w:type="dxa"/>
              <w:left w:w="15" w:type="dxa"/>
              <w:right w:w="15" w:type="dxa"/>
            </w:tcMar>
            <w:vAlign w:val="center"/>
          </w:tcPr>
          <w:p w14:paraId="180D905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5B6657D4"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Media</w:t>
            </w:r>
          </w:p>
        </w:tc>
        <w:tc>
          <w:tcPr>
            <w:tcW w:w="1200" w:type="dxa"/>
            <w:tcMar>
              <w:top w:w="15" w:type="dxa"/>
              <w:left w:w="15" w:type="dxa"/>
              <w:right w:w="15" w:type="dxa"/>
            </w:tcMar>
            <w:vAlign w:val="center"/>
          </w:tcPr>
          <w:p w14:paraId="00444925"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w:t>
            </w:r>
          </w:p>
        </w:tc>
        <w:tc>
          <w:tcPr>
            <w:tcW w:w="1020" w:type="dxa"/>
            <w:tcMar>
              <w:top w:w="15" w:type="dxa"/>
              <w:left w:w="15" w:type="dxa"/>
              <w:right w:w="15" w:type="dxa"/>
            </w:tcMar>
            <w:vAlign w:val="center"/>
          </w:tcPr>
          <w:p w14:paraId="56B6BDD9"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3B9E0A85"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3,00</w:t>
            </w:r>
          </w:p>
        </w:tc>
        <w:tc>
          <w:tcPr>
            <w:tcW w:w="1410" w:type="dxa"/>
            <w:tcMar>
              <w:top w:w="15" w:type="dxa"/>
              <w:left w:w="15" w:type="dxa"/>
              <w:right w:w="15" w:type="dxa"/>
            </w:tcMar>
            <w:vAlign w:val="center"/>
          </w:tcPr>
          <w:p w14:paraId="39066CA1"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Alta</w:t>
            </w:r>
          </w:p>
        </w:tc>
      </w:tr>
      <w:tr w:rsidR="008766FE" w:rsidRPr="0081375C" w14:paraId="42D842E1" w14:textId="77777777" w:rsidTr="008D3E59">
        <w:trPr>
          <w:trHeight w:val="20"/>
        </w:trPr>
        <w:tc>
          <w:tcPr>
            <w:tcW w:w="930" w:type="dxa"/>
            <w:tcMar>
              <w:top w:w="15" w:type="dxa"/>
              <w:left w:w="15" w:type="dxa"/>
              <w:right w:w="15" w:type="dxa"/>
            </w:tcMar>
            <w:vAlign w:val="center"/>
          </w:tcPr>
          <w:p w14:paraId="0B2914AD"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Alto</w:t>
            </w:r>
          </w:p>
        </w:tc>
        <w:tc>
          <w:tcPr>
            <w:tcW w:w="1200" w:type="dxa"/>
            <w:tcMar>
              <w:top w:w="15" w:type="dxa"/>
              <w:left w:w="15" w:type="dxa"/>
              <w:right w:w="15" w:type="dxa"/>
            </w:tcMar>
            <w:vAlign w:val="center"/>
          </w:tcPr>
          <w:p w14:paraId="420AE513"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w:t>
            </w:r>
          </w:p>
        </w:tc>
        <w:tc>
          <w:tcPr>
            <w:tcW w:w="585" w:type="dxa"/>
            <w:tcMar>
              <w:top w:w="15" w:type="dxa"/>
              <w:left w:w="15" w:type="dxa"/>
              <w:right w:w="15" w:type="dxa"/>
            </w:tcMar>
            <w:vAlign w:val="center"/>
          </w:tcPr>
          <w:p w14:paraId="3702D488"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02A03BF4"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Baja</w:t>
            </w:r>
          </w:p>
        </w:tc>
        <w:tc>
          <w:tcPr>
            <w:tcW w:w="1200" w:type="dxa"/>
            <w:tcMar>
              <w:top w:w="15" w:type="dxa"/>
              <w:left w:w="15" w:type="dxa"/>
              <w:right w:w="15" w:type="dxa"/>
            </w:tcMar>
            <w:vAlign w:val="center"/>
          </w:tcPr>
          <w:p w14:paraId="5828AB3F"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1</w:t>
            </w:r>
          </w:p>
        </w:tc>
        <w:tc>
          <w:tcPr>
            <w:tcW w:w="1020" w:type="dxa"/>
            <w:tcMar>
              <w:top w:w="15" w:type="dxa"/>
              <w:left w:w="15" w:type="dxa"/>
              <w:right w:w="15" w:type="dxa"/>
            </w:tcMar>
            <w:vAlign w:val="center"/>
          </w:tcPr>
          <w:p w14:paraId="2B3E8527"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1886FDEA"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2,80</w:t>
            </w:r>
          </w:p>
        </w:tc>
        <w:tc>
          <w:tcPr>
            <w:tcW w:w="1410" w:type="dxa"/>
            <w:tcMar>
              <w:top w:w="15" w:type="dxa"/>
              <w:left w:w="15" w:type="dxa"/>
              <w:right w:w="15" w:type="dxa"/>
            </w:tcMar>
            <w:vAlign w:val="center"/>
          </w:tcPr>
          <w:p w14:paraId="0DC7BE3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Media</w:t>
            </w:r>
          </w:p>
        </w:tc>
      </w:tr>
      <w:tr w:rsidR="008766FE" w:rsidRPr="0081375C" w14:paraId="53A56F38" w14:textId="77777777" w:rsidTr="008D3E59">
        <w:trPr>
          <w:trHeight w:val="20"/>
        </w:trPr>
        <w:tc>
          <w:tcPr>
            <w:tcW w:w="930" w:type="dxa"/>
            <w:tcMar>
              <w:top w:w="15" w:type="dxa"/>
              <w:left w:w="15" w:type="dxa"/>
              <w:right w:w="15" w:type="dxa"/>
            </w:tcMar>
            <w:vAlign w:val="center"/>
          </w:tcPr>
          <w:p w14:paraId="7D8A8CD9"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Medio</w:t>
            </w:r>
          </w:p>
        </w:tc>
        <w:tc>
          <w:tcPr>
            <w:tcW w:w="1200" w:type="dxa"/>
            <w:tcMar>
              <w:top w:w="15" w:type="dxa"/>
              <w:left w:w="15" w:type="dxa"/>
              <w:right w:w="15" w:type="dxa"/>
            </w:tcMar>
            <w:vAlign w:val="center"/>
          </w:tcPr>
          <w:p w14:paraId="474A5C3D"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3</w:t>
            </w:r>
          </w:p>
        </w:tc>
        <w:tc>
          <w:tcPr>
            <w:tcW w:w="585" w:type="dxa"/>
            <w:tcMar>
              <w:top w:w="15" w:type="dxa"/>
              <w:left w:w="15" w:type="dxa"/>
              <w:right w:w="15" w:type="dxa"/>
            </w:tcMar>
            <w:vAlign w:val="center"/>
          </w:tcPr>
          <w:p w14:paraId="0AC1704C"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60%</w:t>
            </w:r>
          </w:p>
        </w:tc>
        <w:tc>
          <w:tcPr>
            <w:tcW w:w="1050" w:type="dxa"/>
            <w:tcMar>
              <w:top w:w="15" w:type="dxa"/>
              <w:left w:w="15" w:type="dxa"/>
              <w:right w:w="15" w:type="dxa"/>
            </w:tcMar>
            <w:vAlign w:val="center"/>
          </w:tcPr>
          <w:p w14:paraId="39FDC8CF"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Baja</w:t>
            </w:r>
          </w:p>
        </w:tc>
        <w:tc>
          <w:tcPr>
            <w:tcW w:w="1200" w:type="dxa"/>
            <w:tcMar>
              <w:top w:w="15" w:type="dxa"/>
              <w:left w:w="15" w:type="dxa"/>
              <w:right w:w="15" w:type="dxa"/>
            </w:tcMar>
            <w:vAlign w:val="center"/>
          </w:tcPr>
          <w:p w14:paraId="580D85B0"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1</w:t>
            </w:r>
          </w:p>
        </w:tc>
        <w:tc>
          <w:tcPr>
            <w:tcW w:w="1020" w:type="dxa"/>
            <w:tcMar>
              <w:top w:w="15" w:type="dxa"/>
              <w:left w:w="15" w:type="dxa"/>
              <w:right w:w="15" w:type="dxa"/>
            </w:tcMar>
            <w:vAlign w:val="center"/>
          </w:tcPr>
          <w:p w14:paraId="19CE9EA3"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40%</w:t>
            </w:r>
          </w:p>
        </w:tc>
        <w:tc>
          <w:tcPr>
            <w:tcW w:w="1185" w:type="dxa"/>
            <w:tcMar>
              <w:top w:w="15" w:type="dxa"/>
              <w:left w:w="15" w:type="dxa"/>
              <w:right w:w="15" w:type="dxa"/>
            </w:tcMar>
            <w:vAlign w:val="center"/>
          </w:tcPr>
          <w:p w14:paraId="26A883B2"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2,20</w:t>
            </w:r>
          </w:p>
        </w:tc>
        <w:tc>
          <w:tcPr>
            <w:tcW w:w="1410" w:type="dxa"/>
            <w:tcMar>
              <w:top w:w="15" w:type="dxa"/>
              <w:left w:w="15" w:type="dxa"/>
              <w:right w:w="15" w:type="dxa"/>
            </w:tcMar>
            <w:vAlign w:val="center"/>
          </w:tcPr>
          <w:p w14:paraId="29D10B26" w14:textId="77777777" w:rsidR="008766FE" w:rsidRPr="0081375C" w:rsidRDefault="008766FE" w:rsidP="008D3E59">
            <w:pPr>
              <w:jc w:val="center"/>
              <w:rPr>
                <w:rFonts w:ascii="Arial" w:hAnsi="Arial"/>
                <w:color w:val="000000" w:themeColor="text1"/>
                <w:sz w:val="20"/>
              </w:rPr>
            </w:pPr>
            <w:r w:rsidRPr="0081375C">
              <w:rPr>
                <w:rFonts w:ascii="Arial" w:hAnsi="Arial"/>
                <w:color w:val="000000" w:themeColor="text1"/>
                <w:sz w:val="20"/>
              </w:rPr>
              <w:t>Media</w:t>
            </w:r>
          </w:p>
        </w:tc>
      </w:tr>
      <w:tr w:rsidR="008766FE" w:rsidRPr="0081375C" w14:paraId="2A6EF95B" w14:textId="77777777" w:rsidTr="008D3E59">
        <w:trPr>
          <w:gridAfter w:val="5"/>
          <w:wAfter w:w="5865" w:type="dxa"/>
          <w:trHeight w:val="20"/>
        </w:trPr>
        <w:tc>
          <w:tcPr>
            <w:tcW w:w="2715" w:type="dxa"/>
            <w:tcMar>
              <w:top w:w="15" w:type="dxa"/>
              <w:left w:w="15" w:type="dxa"/>
              <w:right w:w="15" w:type="dxa"/>
            </w:tcMar>
            <w:vAlign w:val="center"/>
          </w:tcPr>
          <w:p w14:paraId="0CA89CF3" w14:textId="77777777" w:rsidR="008766FE" w:rsidRPr="0081375C" w:rsidRDefault="008766FE" w:rsidP="008D3E59">
            <w:pPr>
              <w:jc w:val="center"/>
              <w:rPr>
                <w:rFonts w:ascii="Arial" w:hAnsi="Arial"/>
                <w:color w:val="000000" w:themeColor="text1"/>
                <w:sz w:val="18"/>
              </w:rPr>
            </w:pPr>
            <w:r w:rsidRPr="0081375C">
              <w:rPr>
                <w:rFonts w:ascii="Arial" w:hAnsi="Arial"/>
                <w:color w:val="000000" w:themeColor="text1"/>
                <w:sz w:val="18"/>
              </w:rPr>
              <w:t>Criterios priorización áreas</w:t>
            </w:r>
          </w:p>
        </w:tc>
        <w:tc>
          <w:tcPr>
            <w:tcW w:w="3270" w:type="dxa"/>
            <w:tcMar>
              <w:top w:w="15" w:type="dxa"/>
              <w:left w:w="15" w:type="dxa"/>
              <w:right w:w="15" w:type="dxa"/>
            </w:tcMar>
            <w:vAlign w:val="center"/>
          </w:tcPr>
          <w:p w14:paraId="3B99D571" w14:textId="77777777" w:rsidR="008766FE" w:rsidRPr="0081375C" w:rsidRDefault="008766FE" w:rsidP="008D3E59">
            <w:pPr>
              <w:jc w:val="center"/>
              <w:rPr>
                <w:rFonts w:ascii="Arial" w:hAnsi="Arial"/>
                <w:color w:val="000000" w:themeColor="text1"/>
                <w:sz w:val="18"/>
              </w:rPr>
            </w:pPr>
            <w:r w:rsidRPr="0081375C">
              <w:rPr>
                <w:rFonts w:ascii="Arial" w:hAnsi="Arial"/>
                <w:color w:val="000000" w:themeColor="text1"/>
                <w:sz w:val="18"/>
              </w:rPr>
              <w:t>Modelo de idoneidad de hábitat</w:t>
            </w:r>
          </w:p>
        </w:tc>
        <w:tc>
          <w:tcPr>
            <w:tcW w:w="2595" w:type="dxa"/>
            <w:tcMar>
              <w:top w:w="15" w:type="dxa"/>
              <w:left w:w="15" w:type="dxa"/>
              <w:right w:w="15" w:type="dxa"/>
            </w:tcMar>
            <w:vAlign w:val="center"/>
          </w:tcPr>
          <w:p w14:paraId="179E2E9D" w14:textId="77777777" w:rsidR="008766FE" w:rsidRPr="0081375C" w:rsidRDefault="008766FE" w:rsidP="008D3E59">
            <w:pPr>
              <w:jc w:val="center"/>
              <w:rPr>
                <w:rFonts w:ascii="Arial" w:hAnsi="Arial"/>
                <w:color w:val="000000" w:themeColor="text1"/>
                <w:sz w:val="18"/>
              </w:rPr>
            </w:pPr>
            <w:r w:rsidRPr="0081375C">
              <w:rPr>
                <w:rFonts w:ascii="Arial" w:hAnsi="Arial"/>
                <w:color w:val="000000" w:themeColor="text1"/>
                <w:sz w:val="18"/>
              </w:rPr>
              <w:t xml:space="preserve">Ponderación de predios </w:t>
            </w:r>
            <w:proofErr w:type="spellStart"/>
            <w:r w:rsidRPr="0081375C">
              <w:rPr>
                <w:rFonts w:ascii="Arial" w:hAnsi="Arial"/>
                <w:color w:val="000000" w:themeColor="text1"/>
                <w:sz w:val="18"/>
              </w:rPr>
              <w:t>PSABio</w:t>
            </w:r>
            <w:proofErr w:type="spellEnd"/>
          </w:p>
        </w:tc>
      </w:tr>
    </w:tbl>
    <w:p w14:paraId="7E60D3FF" w14:textId="77777777" w:rsidR="008766FE" w:rsidRPr="0081375C" w:rsidRDefault="008766FE" w:rsidP="008766FE">
      <w:pPr>
        <w:spacing w:line="276" w:lineRule="auto"/>
        <w:jc w:val="both"/>
        <w:rPr>
          <w:rFonts w:ascii="Arial" w:eastAsia="Arial" w:hAnsi="Arial" w:cs="Arial"/>
        </w:rPr>
      </w:pPr>
      <w:r w:rsidRPr="0081375C">
        <w:rPr>
          <w:rFonts w:ascii="Arial" w:eastAsia="Arial" w:hAnsi="Arial" w:cs="Arial"/>
          <w:color w:val="000000" w:themeColor="text1"/>
          <w:sz w:val="20"/>
          <w:szCs w:val="20"/>
        </w:rPr>
        <w:t>Fórmula: Puntaje ponderado = (Calificación NP × Peso NP) + (Calificación de idoneidad × Peso de idoneidad). Los pesos, calificaciones y rangos pueden modificarse directamente en la tabla.</w:t>
      </w:r>
    </w:p>
    <w:p w14:paraId="63B1E9D3" w14:textId="77777777" w:rsidR="008766FE" w:rsidRPr="0081375C" w:rsidRDefault="008766FE" w:rsidP="008766FE">
      <w:pPr>
        <w:spacing w:line="276" w:lineRule="auto"/>
        <w:jc w:val="both"/>
        <w:rPr>
          <w:rFonts w:ascii="Arial" w:eastAsia="Arial" w:hAnsi="Arial" w:cs="Arial"/>
          <w:color w:val="000000" w:themeColor="text1"/>
          <w:sz w:val="20"/>
          <w:szCs w:val="20"/>
        </w:rPr>
      </w:pPr>
    </w:p>
    <w:p w14:paraId="3B643E29" w14:textId="77777777" w:rsidR="008766FE" w:rsidRPr="0081375C" w:rsidRDefault="008766FE" w:rsidP="008766FE">
      <w:pPr>
        <w:spacing w:line="276" w:lineRule="auto"/>
        <w:jc w:val="both"/>
        <w:rPr>
          <w:rFonts w:ascii="Arial" w:hAnsi="Arial"/>
        </w:rPr>
      </w:pPr>
      <w:r w:rsidRPr="0081375C">
        <w:rPr>
          <w:rFonts w:ascii="Arial" w:hAnsi="Arial"/>
        </w:rPr>
        <w:t xml:space="preserve">Para cada uno de los grupos biológicos evaluados (flora, aves, mamíferos y </w:t>
      </w:r>
      <w:proofErr w:type="spellStart"/>
      <w:r w:rsidRPr="0081375C">
        <w:rPr>
          <w:rFonts w:ascii="Arial" w:hAnsi="Arial"/>
        </w:rPr>
        <w:t>herpetofauna</w:t>
      </w:r>
      <w:proofErr w:type="spellEnd"/>
      <w:r w:rsidRPr="0081375C">
        <w:rPr>
          <w:rFonts w:ascii="Arial" w:hAnsi="Arial"/>
        </w:rPr>
        <w:t xml:space="preserve">) se definió una lista de especies objetivo, conformada principalmente por especies endémicas de Colombia, especies con importancia ecológica para el territorio y especies incluidas en alguna categoría de amenaza de la Unión Internacional para la Conservación de la Naturaleza (UICN). A partir de esta selección, se recopilaron registros biológicos georreferenciados mediante consultas en la plataforma Global </w:t>
      </w:r>
      <w:proofErr w:type="spellStart"/>
      <w:r w:rsidRPr="0081375C">
        <w:rPr>
          <w:rFonts w:ascii="Arial" w:hAnsi="Arial"/>
        </w:rPr>
        <w:t>Biodiversity</w:t>
      </w:r>
      <w:proofErr w:type="spellEnd"/>
      <w:r w:rsidRPr="0081375C">
        <w:rPr>
          <w:rFonts w:ascii="Arial" w:hAnsi="Arial"/>
        </w:rPr>
        <w:t xml:space="preserve"> </w:t>
      </w:r>
      <w:proofErr w:type="spellStart"/>
      <w:r w:rsidRPr="0081375C">
        <w:rPr>
          <w:rFonts w:ascii="Arial" w:hAnsi="Arial"/>
        </w:rPr>
        <w:t>Information</w:t>
      </w:r>
      <w:proofErr w:type="spellEnd"/>
      <w:r w:rsidRPr="0081375C">
        <w:rPr>
          <w:rFonts w:ascii="Arial" w:hAnsi="Arial"/>
        </w:rPr>
        <w:t xml:space="preserve"> </w:t>
      </w:r>
      <w:proofErr w:type="spellStart"/>
      <w:r w:rsidRPr="0081375C">
        <w:rPr>
          <w:rFonts w:ascii="Arial" w:hAnsi="Arial"/>
        </w:rPr>
        <w:t>Facility</w:t>
      </w:r>
      <w:proofErr w:type="spellEnd"/>
      <w:r w:rsidRPr="0081375C">
        <w:rPr>
          <w:rFonts w:ascii="Arial" w:hAnsi="Arial"/>
        </w:rPr>
        <w:t xml:space="preserve"> (GBIF). Para la construcción de los modelos únicamente se incluyeron aquellas especies que contaban con un número suficiente de registros espacialmente válidos, con el propósito de garantizar una adecuada representación de su distribución y reducir la incertidumbre asociada a la modelación </w:t>
      </w:r>
      <w:r w:rsidRPr="0081375C">
        <w:rPr>
          <w:rFonts w:ascii="Arial" w:hAnsi="Arial" w:cs="Arial"/>
          <w:b/>
          <w:bCs/>
          <w:i/>
          <w:iCs/>
          <w:color w:val="000000" w:themeColor="text1"/>
        </w:rPr>
        <w:t>DO-GEAM Modelos de distribución de especies Idoneidad</w:t>
      </w:r>
      <w:r w:rsidRPr="0081375C">
        <w:rPr>
          <w:rFonts w:ascii="Arial" w:hAnsi="Arial"/>
        </w:rPr>
        <w:t>.</w:t>
      </w:r>
    </w:p>
    <w:p w14:paraId="0FB18410" w14:textId="77777777" w:rsidR="008766FE" w:rsidRPr="0081375C" w:rsidRDefault="008766FE" w:rsidP="008766FE">
      <w:pPr>
        <w:spacing w:line="276" w:lineRule="auto"/>
        <w:jc w:val="both"/>
        <w:rPr>
          <w:rFonts w:ascii="Arial" w:eastAsia="Arial" w:hAnsi="Arial" w:cs="Arial"/>
          <w:color w:val="000000" w:themeColor="text1"/>
          <w:sz w:val="20"/>
          <w:szCs w:val="20"/>
        </w:rPr>
      </w:pPr>
    </w:p>
    <w:p w14:paraId="28241322" w14:textId="1C8D6209" w:rsidR="008766FE" w:rsidRPr="0081375C" w:rsidRDefault="008766FE" w:rsidP="008766FE">
      <w:pPr>
        <w:spacing w:line="23" w:lineRule="atLeast"/>
        <w:jc w:val="both"/>
        <w:rPr>
          <w:rFonts w:ascii="Arial" w:hAnsi="Arial" w:cs="Arial"/>
          <w:b/>
          <w:bCs/>
          <w:color w:val="000000" w:themeColor="text1"/>
          <w:sz w:val="20"/>
          <w:szCs w:val="20"/>
        </w:rPr>
      </w:pPr>
      <w:bookmarkStart w:id="42" w:name="_Toc233040666"/>
      <w:r w:rsidRPr="0081375C">
        <w:rPr>
          <w:rFonts w:ascii="Arial" w:hAnsi="Arial" w:cs="Arial"/>
          <w:b/>
          <w:color w:val="000000" w:themeColor="text1"/>
          <w:sz w:val="20"/>
          <w:szCs w:val="20"/>
        </w:rPr>
        <w:t xml:space="preserve">Tabla </w:t>
      </w:r>
      <w:r w:rsidRPr="0081375C">
        <w:rPr>
          <w:rFonts w:ascii="Arial" w:eastAsia="Arial" w:hAnsi="Arial" w:cs="Arial"/>
          <w:b/>
          <w:bCs/>
          <w:color w:val="000000" w:themeColor="text1"/>
          <w:sz w:val="20"/>
          <w:szCs w:val="20"/>
        </w:rPr>
        <w:fldChar w:fldCharType="begin"/>
      </w:r>
      <w:r w:rsidRPr="0081375C">
        <w:rPr>
          <w:rFonts w:ascii="Arial" w:eastAsia="Arial" w:hAnsi="Arial" w:cs="Arial"/>
          <w:b/>
          <w:bCs/>
          <w:color w:val="000000" w:themeColor="text1"/>
          <w:sz w:val="20"/>
          <w:szCs w:val="20"/>
        </w:rPr>
        <w:instrText xml:space="preserve"> SEQ Tabla \* ARABIC </w:instrText>
      </w:r>
      <w:r w:rsidRPr="0081375C">
        <w:rPr>
          <w:rFonts w:ascii="Arial" w:eastAsia="Arial" w:hAnsi="Arial" w:cs="Arial"/>
          <w:b/>
          <w:bCs/>
          <w:color w:val="000000" w:themeColor="text1"/>
          <w:sz w:val="20"/>
          <w:szCs w:val="20"/>
        </w:rPr>
        <w:fldChar w:fldCharType="separate"/>
      </w:r>
      <w:r w:rsidR="00921CE3" w:rsidRPr="0081375C">
        <w:rPr>
          <w:rFonts w:ascii="Arial" w:eastAsia="Arial" w:hAnsi="Arial" w:cs="Arial"/>
          <w:b/>
          <w:bCs/>
          <w:noProof/>
          <w:color w:val="000000" w:themeColor="text1"/>
          <w:sz w:val="20"/>
          <w:szCs w:val="20"/>
        </w:rPr>
        <w:t>15</w:t>
      </w:r>
      <w:r w:rsidRPr="0081375C">
        <w:rPr>
          <w:rFonts w:ascii="Arial" w:eastAsia="Arial" w:hAnsi="Arial" w:cs="Arial"/>
          <w:b/>
          <w:bCs/>
          <w:color w:val="000000" w:themeColor="text1"/>
          <w:sz w:val="20"/>
          <w:szCs w:val="20"/>
        </w:rPr>
        <w:fldChar w:fldCharType="end"/>
      </w:r>
      <w:r w:rsidRPr="0081375C">
        <w:rPr>
          <w:rFonts w:ascii="Arial" w:eastAsia="Arial" w:hAnsi="Arial" w:cs="Arial"/>
          <w:b/>
          <w:bCs/>
          <w:color w:val="000000" w:themeColor="text1"/>
          <w:sz w:val="20"/>
          <w:szCs w:val="20"/>
        </w:rPr>
        <w:t>.</w:t>
      </w:r>
      <w:r w:rsidRPr="0081375C">
        <w:rPr>
          <w:rFonts w:ascii="Arial" w:hAnsi="Arial" w:cs="Arial"/>
          <w:b/>
          <w:color w:val="000000" w:themeColor="text1"/>
          <w:sz w:val="20"/>
          <w:szCs w:val="20"/>
        </w:rPr>
        <w:t xml:space="preserve"> </w:t>
      </w:r>
      <w:r w:rsidRPr="0081375C">
        <w:rPr>
          <w:rFonts w:ascii="Arial" w:hAnsi="Arial" w:cs="Arial"/>
          <w:b/>
          <w:bCs/>
          <w:color w:val="000000" w:themeColor="text1"/>
          <w:sz w:val="20"/>
          <w:szCs w:val="20"/>
        </w:rPr>
        <w:t>Especies empleadas para el modelo de Idoneidad de hábitat</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412"/>
        <w:gridCol w:w="1408"/>
        <w:gridCol w:w="3155"/>
      </w:tblGrid>
      <w:tr w:rsidR="008766FE" w:rsidRPr="0081375C" w14:paraId="61F8BCF4" w14:textId="77777777" w:rsidTr="008D3E59">
        <w:trPr>
          <w:trHeight w:val="20"/>
          <w:tblHeader/>
        </w:trPr>
        <w:tc>
          <w:tcPr>
            <w:tcW w:w="1677" w:type="dxa"/>
            <w:tcMar>
              <w:left w:w="70" w:type="dxa"/>
              <w:right w:w="70" w:type="dxa"/>
            </w:tcMar>
            <w:vAlign w:val="center"/>
          </w:tcPr>
          <w:p w14:paraId="0AFED779" w14:textId="77777777" w:rsidR="008766FE" w:rsidRPr="0081375C" w:rsidRDefault="008766FE" w:rsidP="008D3E59">
            <w:pPr>
              <w:jc w:val="center"/>
            </w:pPr>
            <w:r w:rsidRPr="0081375C">
              <w:rPr>
                <w:rFonts w:ascii="Arial" w:eastAsia="Arial" w:hAnsi="Arial" w:cs="Arial"/>
                <w:b/>
                <w:bCs/>
                <w:color w:val="000000" w:themeColor="text1"/>
                <w:sz w:val="20"/>
                <w:szCs w:val="20"/>
              </w:rPr>
              <w:t>Grupo biológico</w:t>
            </w:r>
          </w:p>
        </w:tc>
        <w:tc>
          <w:tcPr>
            <w:tcW w:w="2438" w:type="dxa"/>
            <w:tcMar>
              <w:left w:w="70" w:type="dxa"/>
              <w:right w:w="70" w:type="dxa"/>
            </w:tcMar>
            <w:vAlign w:val="center"/>
          </w:tcPr>
          <w:p w14:paraId="6D9CE172" w14:textId="77777777" w:rsidR="008766FE" w:rsidRPr="0081375C" w:rsidRDefault="008766FE" w:rsidP="008D3E59">
            <w:pPr>
              <w:jc w:val="center"/>
            </w:pPr>
            <w:r w:rsidRPr="0081375C">
              <w:rPr>
                <w:rFonts w:ascii="Arial" w:eastAsia="Arial" w:hAnsi="Arial" w:cs="Arial"/>
                <w:b/>
                <w:bCs/>
                <w:color w:val="000000" w:themeColor="text1"/>
                <w:sz w:val="20"/>
                <w:szCs w:val="20"/>
              </w:rPr>
              <w:t>Especie</w:t>
            </w:r>
          </w:p>
        </w:tc>
        <w:tc>
          <w:tcPr>
            <w:tcW w:w="1409" w:type="dxa"/>
            <w:tcMar>
              <w:left w:w="70" w:type="dxa"/>
              <w:right w:w="70" w:type="dxa"/>
            </w:tcMar>
            <w:vAlign w:val="center"/>
          </w:tcPr>
          <w:p w14:paraId="3681BDDD" w14:textId="77777777" w:rsidR="008766FE" w:rsidRPr="0081375C" w:rsidRDefault="008766FE" w:rsidP="008D3E59">
            <w:pPr>
              <w:jc w:val="center"/>
            </w:pPr>
            <w:r w:rsidRPr="0081375C">
              <w:rPr>
                <w:rFonts w:ascii="Arial" w:eastAsia="Arial" w:hAnsi="Arial" w:cs="Arial"/>
                <w:b/>
                <w:bCs/>
                <w:color w:val="000000" w:themeColor="text1"/>
                <w:sz w:val="20"/>
                <w:szCs w:val="20"/>
              </w:rPr>
              <w:t>Endemismo</w:t>
            </w:r>
          </w:p>
        </w:tc>
        <w:tc>
          <w:tcPr>
            <w:tcW w:w="3208" w:type="dxa"/>
            <w:tcMar>
              <w:left w:w="70" w:type="dxa"/>
              <w:right w:w="70" w:type="dxa"/>
            </w:tcMar>
            <w:vAlign w:val="center"/>
          </w:tcPr>
          <w:p w14:paraId="2A5D8D0C" w14:textId="77777777" w:rsidR="008766FE" w:rsidRPr="0081375C" w:rsidRDefault="008766FE" w:rsidP="008D3E59">
            <w:pPr>
              <w:jc w:val="center"/>
            </w:pPr>
            <w:r w:rsidRPr="0081375C">
              <w:rPr>
                <w:rFonts w:ascii="Arial" w:eastAsia="Arial" w:hAnsi="Arial" w:cs="Arial"/>
                <w:b/>
                <w:bCs/>
                <w:color w:val="000000" w:themeColor="text1"/>
                <w:sz w:val="20"/>
                <w:szCs w:val="20"/>
              </w:rPr>
              <w:t>Categoría UICN (Global)</w:t>
            </w:r>
          </w:p>
        </w:tc>
      </w:tr>
      <w:tr w:rsidR="008766FE" w:rsidRPr="0081375C" w14:paraId="3DC89AFA" w14:textId="77777777" w:rsidTr="008D3E59">
        <w:trPr>
          <w:trHeight w:val="20"/>
        </w:trPr>
        <w:tc>
          <w:tcPr>
            <w:tcW w:w="1677" w:type="dxa"/>
            <w:tcMar>
              <w:left w:w="70" w:type="dxa"/>
              <w:right w:w="70" w:type="dxa"/>
            </w:tcMar>
            <w:vAlign w:val="center"/>
          </w:tcPr>
          <w:p w14:paraId="1E75D44E" w14:textId="3B891689" w:rsidR="008766FE" w:rsidRPr="0081375C" w:rsidRDefault="008766FE" w:rsidP="008D3E59">
            <w:pPr>
              <w:jc w:val="center"/>
            </w:pPr>
            <w:r w:rsidRPr="0081375C">
              <w:rPr>
                <w:rFonts w:ascii="Arial" w:eastAsia="Arial" w:hAnsi="Arial" w:cs="Arial"/>
                <w:color w:val="000000" w:themeColor="text1"/>
                <w:sz w:val="20"/>
                <w:szCs w:val="20"/>
              </w:rPr>
              <w:t>Mamíferos</w:t>
            </w:r>
          </w:p>
        </w:tc>
        <w:tc>
          <w:tcPr>
            <w:tcW w:w="2438" w:type="dxa"/>
            <w:tcMar>
              <w:left w:w="70" w:type="dxa"/>
              <w:right w:w="70" w:type="dxa"/>
            </w:tcMar>
            <w:vAlign w:val="center"/>
          </w:tcPr>
          <w:p w14:paraId="295E6AE3" w14:textId="77777777" w:rsidR="008766FE" w:rsidRPr="0081375C" w:rsidRDefault="008766FE" w:rsidP="008D3E59">
            <w:pPr>
              <w:jc w:val="center"/>
            </w:pPr>
            <w:r w:rsidRPr="0081375C">
              <w:rPr>
                <w:rFonts w:ascii="Arial" w:eastAsia="Arial" w:hAnsi="Arial" w:cs="Arial"/>
                <w:i/>
                <w:iCs/>
                <w:color w:val="000000" w:themeColor="text1"/>
                <w:sz w:val="20"/>
                <w:szCs w:val="20"/>
              </w:rPr>
              <w:t xml:space="preserve">Leopardus </w:t>
            </w:r>
            <w:proofErr w:type="spellStart"/>
            <w:r w:rsidRPr="0081375C">
              <w:rPr>
                <w:rFonts w:ascii="Arial" w:eastAsia="Arial" w:hAnsi="Arial" w:cs="Arial"/>
                <w:i/>
                <w:iCs/>
                <w:color w:val="000000" w:themeColor="text1"/>
                <w:sz w:val="20"/>
                <w:szCs w:val="20"/>
              </w:rPr>
              <w:t>tigrinus</w:t>
            </w:r>
            <w:proofErr w:type="spellEnd"/>
          </w:p>
        </w:tc>
        <w:tc>
          <w:tcPr>
            <w:tcW w:w="1409" w:type="dxa"/>
            <w:tcMar>
              <w:left w:w="70" w:type="dxa"/>
              <w:right w:w="70" w:type="dxa"/>
            </w:tcMar>
            <w:vAlign w:val="center"/>
          </w:tcPr>
          <w:p w14:paraId="263742EF" w14:textId="77777777" w:rsidR="008766FE" w:rsidRPr="0081375C" w:rsidRDefault="008766FE" w:rsidP="008D3E59">
            <w:pPr>
              <w:jc w:val="center"/>
            </w:pPr>
          </w:p>
        </w:tc>
        <w:tc>
          <w:tcPr>
            <w:tcW w:w="3208" w:type="dxa"/>
            <w:tcMar>
              <w:left w:w="70" w:type="dxa"/>
              <w:right w:w="70" w:type="dxa"/>
            </w:tcMar>
            <w:vAlign w:val="center"/>
          </w:tcPr>
          <w:p w14:paraId="310F94B4"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48381BB0" w14:textId="77777777" w:rsidTr="008D3E59">
        <w:trPr>
          <w:trHeight w:val="20"/>
        </w:trPr>
        <w:tc>
          <w:tcPr>
            <w:tcW w:w="1677" w:type="dxa"/>
            <w:tcMar>
              <w:left w:w="70" w:type="dxa"/>
              <w:right w:w="70" w:type="dxa"/>
            </w:tcMar>
            <w:vAlign w:val="center"/>
          </w:tcPr>
          <w:p w14:paraId="53EE3DA3" w14:textId="5FE0C8DB" w:rsidR="008766FE" w:rsidRPr="0081375C" w:rsidRDefault="008766FE" w:rsidP="008D3E59">
            <w:pPr>
              <w:jc w:val="center"/>
            </w:pPr>
            <w:r w:rsidRPr="0081375C">
              <w:rPr>
                <w:rFonts w:ascii="Arial" w:eastAsia="Arial" w:hAnsi="Arial" w:cs="Arial"/>
                <w:color w:val="000000" w:themeColor="text1"/>
                <w:sz w:val="20"/>
                <w:szCs w:val="20"/>
              </w:rPr>
              <w:t>Mamíferos</w:t>
            </w:r>
          </w:p>
        </w:tc>
        <w:tc>
          <w:tcPr>
            <w:tcW w:w="2438" w:type="dxa"/>
            <w:tcMar>
              <w:left w:w="70" w:type="dxa"/>
              <w:right w:w="70" w:type="dxa"/>
            </w:tcMar>
            <w:vAlign w:val="center"/>
          </w:tcPr>
          <w:p w14:paraId="75BF87BA"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Nasua</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olivacea</w:t>
            </w:r>
            <w:proofErr w:type="spellEnd"/>
          </w:p>
        </w:tc>
        <w:tc>
          <w:tcPr>
            <w:tcW w:w="1409" w:type="dxa"/>
            <w:tcMar>
              <w:left w:w="70" w:type="dxa"/>
              <w:right w:w="70" w:type="dxa"/>
            </w:tcMar>
            <w:vAlign w:val="center"/>
          </w:tcPr>
          <w:p w14:paraId="4FC6F1E4" w14:textId="77777777" w:rsidR="008766FE" w:rsidRPr="0081375C" w:rsidRDefault="008766FE" w:rsidP="008D3E59">
            <w:pPr>
              <w:jc w:val="center"/>
            </w:pPr>
          </w:p>
        </w:tc>
        <w:tc>
          <w:tcPr>
            <w:tcW w:w="3208" w:type="dxa"/>
            <w:tcMar>
              <w:left w:w="70" w:type="dxa"/>
              <w:right w:w="70" w:type="dxa"/>
            </w:tcMar>
            <w:vAlign w:val="center"/>
          </w:tcPr>
          <w:p w14:paraId="1E3A9378" w14:textId="77777777" w:rsidR="008766FE" w:rsidRPr="0081375C" w:rsidRDefault="008766FE" w:rsidP="008D3E59">
            <w:pPr>
              <w:jc w:val="center"/>
            </w:pPr>
            <w:r w:rsidRPr="0081375C">
              <w:rPr>
                <w:rFonts w:ascii="Arial" w:eastAsia="Arial" w:hAnsi="Arial" w:cs="Arial"/>
                <w:color w:val="000000" w:themeColor="text1"/>
                <w:sz w:val="20"/>
                <w:szCs w:val="20"/>
              </w:rPr>
              <w:t>Casi amenazado (NT)</w:t>
            </w:r>
          </w:p>
        </w:tc>
      </w:tr>
      <w:tr w:rsidR="008766FE" w:rsidRPr="0081375C" w14:paraId="31AF35A7" w14:textId="77777777" w:rsidTr="008D3E59">
        <w:trPr>
          <w:trHeight w:val="20"/>
        </w:trPr>
        <w:tc>
          <w:tcPr>
            <w:tcW w:w="1677" w:type="dxa"/>
            <w:tcMar>
              <w:left w:w="70" w:type="dxa"/>
              <w:right w:w="70" w:type="dxa"/>
            </w:tcMar>
            <w:vAlign w:val="center"/>
          </w:tcPr>
          <w:p w14:paraId="2B8B1883" w14:textId="27D5534B" w:rsidR="008766FE" w:rsidRPr="0081375C" w:rsidRDefault="008766FE" w:rsidP="008D3E59">
            <w:pPr>
              <w:jc w:val="center"/>
            </w:pPr>
            <w:r w:rsidRPr="0081375C">
              <w:rPr>
                <w:rFonts w:ascii="Arial" w:eastAsia="Arial" w:hAnsi="Arial" w:cs="Arial"/>
                <w:color w:val="000000" w:themeColor="text1"/>
                <w:sz w:val="20"/>
                <w:szCs w:val="20"/>
              </w:rPr>
              <w:t>Mamíferos</w:t>
            </w:r>
          </w:p>
        </w:tc>
        <w:tc>
          <w:tcPr>
            <w:tcW w:w="2438" w:type="dxa"/>
            <w:tcMar>
              <w:left w:w="70" w:type="dxa"/>
              <w:right w:w="70" w:type="dxa"/>
            </w:tcMar>
            <w:vAlign w:val="center"/>
          </w:tcPr>
          <w:p w14:paraId="123830CF"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Bassaricyon</w:t>
            </w:r>
            <w:proofErr w:type="spellEnd"/>
            <w:r w:rsidRPr="0081375C">
              <w:rPr>
                <w:rFonts w:ascii="Arial" w:eastAsia="Arial" w:hAnsi="Arial" w:cs="Arial"/>
                <w:i/>
                <w:iCs/>
                <w:color w:val="000000" w:themeColor="text1"/>
                <w:sz w:val="20"/>
                <w:szCs w:val="20"/>
              </w:rPr>
              <w:t xml:space="preserve"> neblina</w:t>
            </w:r>
          </w:p>
        </w:tc>
        <w:tc>
          <w:tcPr>
            <w:tcW w:w="1409" w:type="dxa"/>
            <w:tcMar>
              <w:left w:w="70" w:type="dxa"/>
              <w:right w:w="70" w:type="dxa"/>
            </w:tcMar>
            <w:vAlign w:val="center"/>
          </w:tcPr>
          <w:p w14:paraId="10B5392A" w14:textId="77777777" w:rsidR="008766FE" w:rsidRPr="0081375C" w:rsidRDefault="008766FE" w:rsidP="008D3E59">
            <w:pPr>
              <w:jc w:val="center"/>
            </w:pPr>
          </w:p>
        </w:tc>
        <w:tc>
          <w:tcPr>
            <w:tcW w:w="3208" w:type="dxa"/>
            <w:tcMar>
              <w:left w:w="70" w:type="dxa"/>
              <w:right w:w="70" w:type="dxa"/>
            </w:tcMar>
            <w:vAlign w:val="center"/>
          </w:tcPr>
          <w:p w14:paraId="135EAA12"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2D58416C" w14:textId="77777777" w:rsidTr="008D3E59">
        <w:trPr>
          <w:trHeight w:val="20"/>
        </w:trPr>
        <w:tc>
          <w:tcPr>
            <w:tcW w:w="1677" w:type="dxa"/>
            <w:tcMar>
              <w:left w:w="70" w:type="dxa"/>
              <w:right w:w="70" w:type="dxa"/>
            </w:tcMar>
            <w:vAlign w:val="center"/>
          </w:tcPr>
          <w:p w14:paraId="29AA1B97" w14:textId="4E5B0474" w:rsidR="008766FE" w:rsidRPr="0081375C" w:rsidRDefault="008766FE" w:rsidP="008D3E59">
            <w:pPr>
              <w:jc w:val="center"/>
            </w:pPr>
            <w:r w:rsidRPr="0081375C">
              <w:rPr>
                <w:rFonts w:ascii="Arial" w:eastAsia="Arial" w:hAnsi="Arial" w:cs="Arial"/>
                <w:color w:val="000000" w:themeColor="text1"/>
                <w:sz w:val="20"/>
                <w:szCs w:val="20"/>
              </w:rPr>
              <w:t>Mamíferos</w:t>
            </w:r>
          </w:p>
        </w:tc>
        <w:tc>
          <w:tcPr>
            <w:tcW w:w="2438" w:type="dxa"/>
            <w:tcMar>
              <w:left w:w="70" w:type="dxa"/>
              <w:right w:w="70" w:type="dxa"/>
            </w:tcMar>
            <w:vAlign w:val="center"/>
          </w:tcPr>
          <w:p w14:paraId="7DF1341D" w14:textId="77777777" w:rsidR="008766FE" w:rsidRPr="0081375C" w:rsidRDefault="008766FE" w:rsidP="008D3E59">
            <w:pPr>
              <w:jc w:val="center"/>
            </w:pPr>
            <w:r w:rsidRPr="0081375C">
              <w:rPr>
                <w:rFonts w:ascii="Arial" w:eastAsia="Arial" w:hAnsi="Arial" w:cs="Arial"/>
                <w:i/>
                <w:iCs/>
                <w:color w:val="000000" w:themeColor="text1"/>
                <w:sz w:val="20"/>
                <w:szCs w:val="20"/>
              </w:rPr>
              <w:t xml:space="preserve">Puma </w:t>
            </w:r>
            <w:proofErr w:type="spellStart"/>
            <w:r w:rsidRPr="0081375C">
              <w:rPr>
                <w:rFonts w:ascii="Arial" w:eastAsia="Arial" w:hAnsi="Arial" w:cs="Arial"/>
                <w:i/>
                <w:iCs/>
                <w:color w:val="000000" w:themeColor="text1"/>
                <w:sz w:val="20"/>
                <w:szCs w:val="20"/>
              </w:rPr>
              <w:t>concolor</w:t>
            </w:r>
            <w:proofErr w:type="spellEnd"/>
          </w:p>
        </w:tc>
        <w:tc>
          <w:tcPr>
            <w:tcW w:w="1409" w:type="dxa"/>
            <w:tcMar>
              <w:left w:w="70" w:type="dxa"/>
              <w:right w:w="70" w:type="dxa"/>
            </w:tcMar>
            <w:vAlign w:val="center"/>
          </w:tcPr>
          <w:p w14:paraId="29692895" w14:textId="77777777" w:rsidR="008766FE" w:rsidRPr="0081375C" w:rsidRDefault="008766FE" w:rsidP="008D3E59">
            <w:pPr>
              <w:jc w:val="center"/>
            </w:pPr>
          </w:p>
        </w:tc>
        <w:tc>
          <w:tcPr>
            <w:tcW w:w="3208" w:type="dxa"/>
            <w:tcMar>
              <w:left w:w="70" w:type="dxa"/>
              <w:right w:w="70" w:type="dxa"/>
            </w:tcMar>
            <w:vAlign w:val="center"/>
          </w:tcPr>
          <w:p w14:paraId="4246B345" w14:textId="77777777" w:rsidR="008766FE" w:rsidRPr="0081375C" w:rsidRDefault="008766FE" w:rsidP="008D3E59">
            <w:pPr>
              <w:jc w:val="center"/>
            </w:pPr>
            <w:r w:rsidRPr="0081375C">
              <w:rPr>
                <w:rFonts w:ascii="Arial" w:eastAsia="Arial" w:hAnsi="Arial" w:cs="Arial"/>
                <w:color w:val="000000" w:themeColor="text1"/>
                <w:sz w:val="20"/>
                <w:szCs w:val="20"/>
              </w:rPr>
              <w:t>Preocupación Menor (LC)</w:t>
            </w:r>
          </w:p>
        </w:tc>
      </w:tr>
      <w:tr w:rsidR="008766FE" w:rsidRPr="0081375C" w14:paraId="738147E7" w14:textId="77777777" w:rsidTr="008D3E59">
        <w:trPr>
          <w:trHeight w:val="20"/>
        </w:trPr>
        <w:tc>
          <w:tcPr>
            <w:tcW w:w="1677" w:type="dxa"/>
            <w:tcMar>
              <w:left w:w="70" w:type="dxa"/>
              <w:right w:w="70" w:type="dxa"/>
            </w:tcMar>
            <w:vAlign w:val="center"/>
          </w:tcPr>
          <w:p w14:paraId="2DD2A088"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04654226"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Hypopyrrhus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pyrohypogaster</w:t>
            </w:r>
            <w:proofErr w:type="spellEnd"/>
          </w:p>
        </w:tc>
        <w:tc>
          <w:tcPr>
            <w:tcW w:w="1409" w:type="dxa"/>
            <w:tcMar>
              <w:left w:w="70" w:type="dxa"/>
              <w:right w:w="70" w:type="dxa"/>
            </w:tcMar>
            <w:vAlign w:val="center"/>
          </w:tcPr>
          <w:p w14:paraId="3BA75CE2"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1EA322F8" w14:textId="77777777" w:rsidR="008766FE" w:rsidRPr="0081375C" w:rsidRDefault="008766FE" w:rsidP="008D3E59">
            <w:pPr>
              <w:jc w:val="center"/>
            </w:pPr>
          </w:p>
        </w:tc>
      </w:tr>
      <w:tr w:rsidR="008766FE" w:rsidRPr="0081375C" w14:paraId="2F1C98D9" w14:textId="77777777" w:rsidTr="008D3E59">
        <w:trPr>
          <w:trHeight w:val="20"/>
        </w:trPr>
        <w:tc>
          <w:tcPr>
            <w:tcW w:w="1677" w:type="dxa"/>
            <w:tcMar>
              <w:left w:w="70" w:type="dxa"/>
              <w:right w:w="70" w:type="dxa"/>
            </w:tcMar>
            <w:vAlign w:val="center"/>
          </w:tcPr>
          <w:p w14:paraId="41B05185"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243424A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Odontophorus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hyperythrus</w:t>
            </w:r>
            <w:proofErr w:type="spellEnd"/>
          </w:p>
        </w:tc>
        <w:tc>
          <w:tcPr>
            <w:tcW w:w="1409" w:type="dxa"/>
            <w:tcMar>
              <w:left w:w="70" w:type="dxa"/>
              <w:right w:w="70" w:type="dxa"/>
            </w:tcMar>
            <w:vAlign w:val="center"/>
          </w:tcPr>
          <w:p w14:paraId="7F6FADA7"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7A65D155" w14:textId="77777777" w:rsidR="008766FE" w:rsidRPr="0081375C" w:rsidRDefault="008766FE" w:rsidP="008D3E59">
            <w:pPr>
              <w:jc w:val="center"/>
            </w:pPr>
          </w:p>
        </w:tc>
      </w:tr>
      <w:tr w:rsidR="008766FE" w:rsidRPr="0081375C" w14:paraId="71D39155" w14:textId="77777777" w:rsidTr="008D3E59">
        <w:trPr>
          <w:trHeight w:val="20"/>
        </w:trPr>
        <w:tc>
          <w:tcPr>
            <w:tcW w:w="1677" w:type="dxa"/>
            <w:tcMar>
              <w:left w:w="70" w:type="dxa"/>
              <w:right w:w="70" w:type="dxa"/>
            </w:tcMar>
            <w:vAlign w:val="center"/>
          </w:tcPr>
          <w:p w14:paraId="7720971E"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38525562"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Ortalis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columbiana</w:t>
            </w:r>
            <w:proofErr w:type="spellEnd"/>
          </w:p>
        </w:tc>
        <w:tc>
          <w:tcPr>
            <w:tcW w:w="1409" w:type="dxa"/>
            <w:tcMar>
              <w:left w:w="70" w:type="dxa"/>
              <w:right w:w="70" w:type="dxa"/>
            </w:tcMar>
            <w:vAlign w:val="center"/>
          </w:tcPr>
          <w:p w14:paraId="49A25144"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73146E2C" w14:textId="77777777" w:rsidR="008766FE" w:rsidRPr="0081375C" w:rsidRDefault="008766FE" w:rsidP="008D3E59">
            <w:pPr>
              <w:jc w:val="center"/>
            </w:pPr>
          </w:p>
        </w:tc>
      </w:tr>
      <w:tr w:rsidR="008766FE" w:rsidRPr="0081375C" w14:paraId="59F61016" w14:textId="77777777" w:rsidTr="008D3E59">
        <w:trPr>
          <w:trHeight w:val="20"/>
        </w:trPr>
        <w:tc>
          <w:tcPr>
            <w:tcW w:w="1677" w:type="dxa"/>
            <w:tcMar>
              <w:left w:w="70" w:type="dxa"/>
              <w:right w:w="70" w:type="dxa"/>
            </w:tcMar>
            <w:vAlign w:val="center"/>
          </w:tcPr>
          <w:p w14:paraId="5C7B53C0" w14:textId="77777777" w:rsidR="008766FE" w:rsidRPr="0081375C" w:rsidRDefault="008766FE" w:rsidP="008D3E59">
            <w:pPr>
              <w:jc w:val="center"/>
            </w:pPr>
            <w:r w:rsidRPr="0081375C">
              <w:rPr>
                <w:rFonts w:ascii="Arial" w:eastAsia="Arial" w:hAnsi="Arial" w:cs="Arial"/>
                <w:color w:val="000000" w:themeColor="text1"/>
                <w:sz w:val="20"/>
                <w:szCs w:val="20"/>
              </w:rPr>
              <w:lastRenderedPageBreak/>
              <w:t>Aves</w:t>
            </w:r>
          </w:p>
        </w:tc>
        <w:tc>
          <w:tcPr>
            <w:tcW w:w="2438" w:type="dxa"/>
            <w:tcMar>
              <w:left w:w="70" w:type="dxa"/>
              <w:right w:w="70" w:type="dxa"/>
            </w:tcMar>
            <w:vAlign w:val="center"/>
          </w:tcPr>
          <w:p w14:paraId="0248DFEB"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Pharomachrus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auriceps</w:t>
            </w:r>
            <w:proofErr w:type="spellEnd"/>
          </w:p>
        </w:tc>
        <w:tc>
          <w:tcPr>
            <w:tcW w:w="1409" w:type="dxa"/>
            <w:tcMar>
              <w:left w:w="70" w:type="dxa"/>
              <w:right w:w="70" w:type="dxa"/>
            </w:tcMar>
            <w:vAlign w:val="center"/>
          </w:tcPr>
          <w:p w14:paraId="40C2F4D1" w14:textId="77777777" w:rsidR="008766FE" w:rsidRPr="0081375C" w:rsidRDefault="008766FE" w:rsidP="008D3E59">
            <w:pPr>
              <w:jc w:val="center"/>
            </w:pPr>
            <w:r w:rsidRPr="0081375C">
              <w:rPr>
                <w:rFonts w:ascii="Arial" w:eastAsia="Arial" w:hAnsi="Arial" w:cs="Arial"/>
                <w:color w:val="000000" w:themeColor="text1"/>
                <w:sz w:val="20"/>
                <w:szCs w:val="20"/>
              </w:rPr>
              <w:t>Residente importancia ecológica</w:t>
            </w:r>
          </w:p>
        </w:tc>
        <w:tc>
          <w:tcPr>
            <w:tcW w:w="3208" w:type="dxa"/>
            <w:tcMar>
              <w:left w:w="70" w:type="dxa"/>
              <w:right w:w="70" w:type="dxa"/>
            </w:tcMar>
            <w:vAlign w:val="center"/>
          </w:tcPr>
          <w:p w14:paraId="1236C37B" w14:textId="77777777" w:rsidR="008766FE" w:rsidRPr="0081375C" w:rsidRDefault="008766FE" w:rsidP="008D3E59">
            <w:pPr>
              <w:jc w:val="center"/>
            </w:pPr>
          </w:p>
        </w:tc>
      </w:tr>
      <w:tr w:rsidR="008766FE" w:rsidRPr="0081375C" w14:paraId="1627B569" w14:textId="77777777" w:rsidTr="008D3E59">
        <w:trPr>
          <w:trHeight w:val="20"/>
        </w:trPr>
        <w:tc>
          <w:tcPr>
            <w:tcW w:w="1677" w:type="dxa"/>
            <w:tcMar>
              <w:left w:w="70" w:type="dxa"/>
              <w:right w:w="70" w:type="dxa"/>
            </w:tcMar>
            <w:vAlign w:val="center"/>
          </w:tcPr>
          <w:p w14:paraId="4FD403FE"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13AA059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Picumnus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granadensis</w:t>
            </w:r>
            <w:proofErr w:type="spellEnd"/>
          </w:p>
        </w:tc>
        <w:tc>
          <w:tcPr>
            <w:tcW w:w="1409" w:type="dxa"/>
            <w:tcMar>
              <w:left w:w="70" w:type="dxa"/>
              <w:right w:w="70" w:type="dxa"/>
            </w:tcMar>
            <w:vAlign w:val="center"/>
          </w:tcPr>
          <w:p w14:paraId="7CA5FF72"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0745A716" w14:textId="77777777" w:rsidR="008766FE" w:rsidRPr="0081375C" w:rsidRDefault="008766FE" w:rsidP="008D3E59">
            <w:pPr>
              <w:jc w:val="center"/>
            </w:pPr>
          </w:p>
        </w:tc>
      </w:tr>
      <w:tr w:rsidR="008766FE" w:rsidRPr="0081375C" w14:paraId="212CCE2F" w14:textId="77777777" w:rsidTr="008D3E59">
        <w:trPr>
          <w:trHeight w:val="20"/>
        </w:trPr>
        <w:tc>
          <w:tcPr>
            <w:tcW w:w="1677" w:type="dxa"/>
            <w:tcMar>
              <w:left w:w="70" w:type="dxa"/>
              <w:right w:w="70" w:type="dxa"/>
            </w:tcMar>
            <w:vAlign w:val="center"/>
          </w:tcPr>
          <w:p w14:paraId="0C673C63"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6F846120"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Scytalopus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stilesi</w:t>
            </w:r>
            <w:proofErr w:type="spellEnd"/>
          </w:p>
        </w:tc>
        <w:tc>
          <w:tcPr>
            <w:tcW w:w="1409" w:type="dxa"/>
            <w:tcMar>
              <w:left w:w="70" w:type="dxa"/>
              <w:right w:w="70" w:type="dxa"/>
            </w:tcMar>
            <w:vAlign w:val="center"/>
          </w:tcPr>
          <w:p w14:paraId="448F0D8C"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3F0796B1" w14:textId="77777777" w:rsidR="008766FE" w:rsidRPr="0081375C" w:rsidRDefault="008766FE" w:rsidP="008D3E59">
            <w:pPr>
              <w:jc w:val="center"/>
            </w:pPr>
          </w:p>
        </w:tc>
      </w:tr>
      <w:tr w:rsidR="008766FE" w:rsidRPr="0081375C" w14:paraId="6A6A6142" w14:textId="77777777" w:rsidTr="008D3E59">
        <w:trPr>
          <w:trHeight w:val="20"/>
        </w:trPr>
        <w:tc>
          <w:tcPr>
            <w:tcW w:w="1677" w:type="dxa"/>
            <w:tcMar>
              <w:left w:w="70" w:type="dxa"/>
              <w:right w:w="70" w:type="dxa"/>
            </w:tcMar>
            <w:vAlign w:val="center"/>
          </w:tcPr>
          <w:p w14:paraId="4EEE984C"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3255706E"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Sericossypha</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albocristata</w:t>
            </w:r>
            <w:proofErr w:type="spellEnd"/>
          </w:p>
        </w:tc>
        <w:tc>
          <w:tcPr>
            <w:tcW w:w="1409" w:type="dxa"/>
            <w:tcMar>
              <w:left w:w="70" w:type="dxa"/>
              <w:right w:w="70" w:type="dxa"/>
            </w:tcMar>
            <w:vAlign w:val="center"/>
          </w:tcPr>
          <w:p w14:paraId="12C6F71E" w14:textId="77777777" w:rsidR="008766FE" w:rsidRPr="0081375C" w:rsidRDefault="008766FE" w:rsidP="008D3E59">
            <w:pPr>
              <w:jc w:val="center"/>
            </w:pPr>
          </w:p>
        </w:tc>
        <w:tc>
          <w:tcPr>
            <w:tcW w:w="3208" w:type="dxa"/>
            <w:tcMar>
              <w:left w:w="70" w:type="dxa"/>
              <w:right w:w="70" w:type="dxa"/>
            </w:tcMar>
            <w:vAlign w:val="center"/>
          </w:tcPr>
          <w:p w14:paraId="7602F47D"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192E5CAA" w14:textId="77777777" w:rsidTr="008D3E59">
        <w:trPr>
          <w:trHeight w:val="20"/>
        </w:trPr>
        <w:tc>
          <w:tcPr>
            <w:tcW w:w="1677" w:type="dxa"/>
            <w:tcMar>
              <w:left w:w="70" w:type="dxa"/>
              <w:right w:w="70" w:type="dxa"/>
            </w:tcMar>
            <w:vAlign w:val="center"/>
          </w:tcPr>
          <w:p w14:paraId="0E2218F1" w14:textId="77777777" w:rsidR="008766FE" w:rsidRPr="0081375C" w:rsidRDefault="008766FE" w:rsidP="008D3E59">
            <w:pPr>
              <w:jc w:val="center"/>
            </w:pPr>
            <w:r w:rsidRPr="0081375C">
              <w:rPr>
                <w:rFonts w:ascii="Arial" w:eastAsia="Arial" w:hAnsi="Arial" w:cs="Arial"/>
                <w:color w:val="000000" w:themeColor="text1"/>
                <w:sz w:val="20"/>
                <w:szCs w:val="20"/>
              </w:rPr>
              <w:t>Aves</w:t>
            </w:r>
          </w:p>
        </w:tc>
        <w:tc>
          <w:tcPr>
            <w:tcW w:w="2438" w:type="dxa"/>
            <w:tcMar>
              <w:left w:w="70" w:type="dxa"/>
              <w:right w:w="70" w:type="dxa"/>
            </w:tcMar>
            <w:vAlign w:val="center"/>
          </w:tcPr>
          <w:p w14:paraId="4D23819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Spizaetus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tyrannus</w:t>
            </w:r>
            <w:proofErr w:type="spellEnd"/>
          </w:p>
        </w:tc>
        <w:tc>
          <w:tcPr>
            <w:tcW w:w="1409" w:type="dxa"/>
            <w:tcMar>
              <w:left w:w="70" w:type="dxa"/>
              <w:right w:w="70" w:type="dxa"/>
            </w:tcMar>
            <w:vAlign w:val="center"/>
          </w:tcPr>
          <w:p w14:paraId="66301004" w14:textId="77777777" w:rsidR="008766FE" w:rsidRPr="0081375C" w:rsidRDefault="008766FE" w:rsidP="008D3E59">
            <w:pPr>
              <w:jc w:val="center"/>
            </w:pPr>
          </w:p>
        </w:tc>
        <w:tc>
          <w:tcPr>
            <w:tcW w:w="3208" w:type="dxa"/>
            <w:tcMar>
              <w:left w:w="70" w:type="dxa"/>
              <w:right w:w="70" w:type="dxa"/>
            </w:tcMar>
            <w:vAlign w:val="center"/>
          </w:tcPr>
          <w:p w14:paraId="5CE35B31" w14:textId="77777777" w:rsidR="008766FE" w:rsidRPr="0081375C" w:rsidRDefault="008766FE" w:rsidP="008D3E59">
            <w:pPr>
              <w:jc w:val="center"/>
            </w:pPr>
          </w:p>
        </w:tc>
      </w:tr>
      <w:tr w:rsidR="008766FE" w:rsidRPr="0081375C" w14:paraId="7D83FBD7" w14:textId="77777777" w:rsidTr="008D3E59">
        <w:trPr>
          <w:trHeight w:val="20"/>
        </w:trPr>
        <w:tc>
          <w:tcPr>
            <w:tcW w:w="1677" w:type="dxa"/>
            <w:tcMar>
              <w:left w:w="70" w:type="dxa"/>
              <w:right w:w="70" w:type="dxa"/>
            </w:tcMar>
            <w:vAlign w:val="center"/>
          </w:tcPr>
          <w:p w14:paraId="22A5B4E2" w14:textId="77777777" w:rsidR="008766FE" w:rsidRPr="0081375C" w:rsidRDefault="008766FE" w:rsidP="008D3E59">
            <w:pPr>
              <w:jc w:val="center"/>
            </w:pPr>
            <w:proofErr w:type="spellStart"/>
            <w:r w:rsidRPr="0081375C">
              <w:rPr>
                <w:rFonts w:ascii="Arial" w:eastAsia="Arial" w:hAnsi="Arial" w:cs="Arial"/>
                <w:color w:val="000000" w:themeColor="text1"/>
                <w:sz w:val="20"/>
                <w:szCs w:val="20"/>
              </w:rPr>
              <w:t>Hertofauna</w:t>
            </w:r>
            <w:proofErr w:type="spellEnd"/>
          </w:p>
        </w:tc>
        <w:tc>
          <w:tcPr>
            <w:tcW w:w="2438" w:type="dxa"/>
            <w:tcMar>
              <w:left w:w="70" w:type="dxa"/>
              <w:right w:w="70" w:type="dxa"/>
            </w:tcMar>
            <w:vAlign w:val="center"/>
          </w:tcPr>
          <w:p w14:paraId="4A1914BF"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Rhinella</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ruizi</w:t>
            </w:r>
            <w:proofErr w:type="spellEnd"/>
          </w:p>
        </w:tc>
        <w:tc>
          <w:tcPr>
            <w:tcW w:w="1409" w:type="dxa"/>
            <w:tcMar>
              <w:left w:w="70" w:type="dxa"/>
              <w:right w:w="70" w:type="dxa"/>
            </w:tcMar>
            <w:vAlign w:val="center"/>
          </w:tcPr>
          <w:p w14:paraId="3F3DCAA3" w14:textId="77777777" w:rsidR="008766FE" w:rsidRPr="0081375C" w:rsidRDefault="008766FE" w:rsidP="008D3E59">
            <w:pPr>
              <w:jc w:val="center"/>
            </w:pPr>
            <w:r w:rsidRPr="0081375C">
              <w:rPr>
                <w:rFonts w:ascii="Arial" w:eastAsia="Arial" w:hAnsi="Arial" w:cs="Arial"/>
                <w:color w:val="000000" w:themeColor="text1"/>
                <w:sz w:val="20"/>
                <w:szCs w:val="20"/>
              </w:rPr>
              <w:t>Endémica/VU</w:t>
            </w:r>
          </w:p>
        </w:tc>
        <w:tc>
          <w:tcPr>
            <w:tcW w:w="3208" w:type="dxa"/>
            <w:tcMar>
              <w:left w:w="70" w:type="dxa"/>
              <w:right w:w="70" w:type="dxa"/>
            </w:tcMar>
            <w:vAlign w:val="center"/>
          </w:tcPr>
          <w:p w14:paraId="4093B498"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7DAD9257" w14:textId="77777777" w:rsidTr="008D3E59">
        <w:trPr>
          <w:trHeight w:val="20"/>
        </w:trPr>
        <w:tc>
          <w:tcPr>
            <w:tcW w:w="1677" w:type="dxa"/>
            <w:tcMar>
              <w:left w:w="70" w:type="dxa"/>
              <w:right w:w="70" w:type="dxa"/>
            </w:tcMar>
            <w:vAlign w:val="center"/>
          </w:tcPr>
          <w:p w14:paraId="4B615207" w14:textId="77777777" w:rsidR="008766FE" w:rsidRPr="0081375C" w:rsidRDefault="008766FE" w:rsidP="008D3E59">
            <w:pPr>
              <w:jc w:val="center"/>
            </w:pPr>
            <w:proofErr w:type="spellStart"/>
            <w:r w:rsidRPr="0081375C">
              <w:rPr>
                <w:rFonts w:ascii="Arial" w:eastAsia="Arial" w:hAnsi="Arial" w:cs="Arial"/>
                <w:color w:val="000000" w:themeColor="text1"/>
                <w:sz w:val="20"/>
                <w:szCs w:val="20"/>
              </w:rPr>
              <w:t>Hertofauna</w:t>
            </w:r>
            <w:proofErr w:type="spellEnd"/>
          </w:p>
        </w:tc>
        <w:tc>
          <w:tcPr>
            <w:tcW w:w="2438" w:type="dxa"/>
            <w:tcMar>
              <w:left w:w="70" w:type="dxa"/>
              <w:right w:w="70" w:type="dxa"/>
            </w:tcMar>
            <w:vAlign w:val="center"/>
          </w:tcPr>
          <w:p w14:paraId="6F94B82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Bolitoglossa</w:t>
            </w:r>
            <w:proofErr w:type="spellEnd"/>
            <w:r w:rsidRPr="0081375C">
              <w:rPr>
                <w:rFonts w:ascii="Arial" w:eastAsia="Arial" w:hAnsi="Arial" w:cs="Arial"/>
                <w:i/>
                <w:iCs/>
                <w:color w:val="000000" w:themeColor="text1"/>
                <w:sz w:val="20"/>
                <w:szCs w:val="20"/>
              </w:rPr>
              <w:t xml:space="preserve"> vallecula</w:t>
            </w:r>
          </w:p>
        </w:tc>
        <w:tc>
          <w:tcPr>
            <w:tcW w:w="1409" w:type="dxa"/>
            <w:tcMar>
              <w:left w:w="70" w:type="dxa"/>
              <w:right w:w="70" w:type="dxa"/>
            </w:tcMar>
            <w:vAlign w:val="center"/>
          </w:tcPr>
          <w:p w14:paraId="376A63D3"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0784689A" w14:textId="77777777" w:rsidR="008766FE" w:rsidRPr="0081375C" w:rsidRDefault="008766FE" w:rsidP="008D3E59">
            <w:pPr>
              <w:jc w:val="center"/>
            </w:pPr>
          </w:p>
        </w:tc>
      </w:tr>
      <w:tr w:rsidR="008766FE" w:rsidRPr="0081375C" w14:paraId="1EA58D8C" w14:textId="77777777" w:rsidTr="008D3E59">
        <w:trPr>
          <w:trHeight w:val="20"/>
        </w:trPr>
        <w:tc>
          <w:tcPr>
            <w:tcW w:w="1677" w:type="dxa"/>
            <w:tcMar>
              <w:left w:w="70" w:type="dxa"/>
              <w:right w:w="70" w:type="dxa"/>
            </w:tcMar>
            <w:vAlign w:val="center"/>
          </w:tcPr>
          <w:p w14:paraId="06D40EDE" w14:textId="77777777" w:rsidR="008766FE" w:rsidRPr="0081375C" w:rsidRDefault="008766FE" w:rsidP="008D3E59">
            <w:pPr>
              <w:jc w:val="center"/>
            </w:pPr>
            <w:proofErr w:type="spellStart"/>
            <w:r w:rsidRPr="0081375C">
              <w:rPr>
                <w:rFonts w:ascii="Arial" w:eastAsia="Arial" w:hAnsi="Arial" w:cs="Arial"/>
                <w:color w:val="000000" w:themeColor="text1"/>
                <w:sz w:val="20"/>
                <w:szCs w:val="20"/>
              </w:rPr>
              <w:t>Hertofauna</w:t>
            </w:r>
            <w:proofErr w:type="spellEnd"/>
          </w:p>
        </w:tc>
        <w:tc>
          <w:tcPr>
            <w:tcW w:w="2438" w:type="dxa"/>
            <w:tcMar>
              <w:left w:w="70" w:type="dxa"/>
              <w:right w:w="70" w:type="dxa"/>
            </w:tcMar>
            <w:vAlign w:val="center"/>
          </w:tcPr>
          <w:p w14:paraId="104B067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Hyloscirtus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antioquia</w:t>
            </w:r>
            <w:proofErr w:type="spellEnd"/>
          </w:p>
        </w:tc>
        <w:tc>
          <w:tcPr>
            <w:tcW w:w="1409" w:type="dxa"/>
            <w:tcMar>
              <w:left w:w="70" w:type="dxa"/>
              <w:right w:w="70" w:type="dxa"/>
            </w:tcMar>
            <w:vAlign w:val="center"/>
          </w:tcPr>
          <w:p w14:paraId="2944807D" w14:textId="77777777" w:rsidR="008766FE" w:rsidRPr="0081375C" w:rsidRDefault="008766FE" w:rsidP="008D3E59">
            <w:pPr>
              <w:jc w:val="center"/>
            </w:pPr>
          </w:p>
        </w:tc>
        <w:tc>
          <w:tcPr>
            <w:tcW w:w="3208" w:type="dxa"/>
            <w:tcMar>
              <w:left w:w="70" w:type="dxa"/>
              <w:right w:w="70" w:type="dxa"/>
            </w:tcMar>
            <w:vAlign w:val="center"/>
          </w:tcPr>
          <w:p w14:paraId="44021327"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1548F70B" w14:textId="77777777" w:rsidTr="008D3E59">
        <w:trPr>
          <w:trHeight w:val="20"/>
        </w:trPr>
        <w:tc>
          <w:tcPr>
            <w:tcW w:w="1677" w:type="dxa"/>
            <w:tcMar>
              <w:left w:w="70" w:type="dxa"/>
              <w:right w:w="70" w:type="dxa"/>
            </w:tcMar>
            <w:vAlign w:val="center"/>
          </w:tcPr>
          <w:p w14:paraId="5033E72F" w14:textId="77777777" w:rsidR="008766FE" w:rsidRPr="0081375C" w:rsidRDefault="008766FE" w:rsidP="008D3E59">
            <w:pPr>
              <w:jc w:val="center"/>
            </w:pPr>
            <w:proofErr w:type="spellStart"/>
            <w:r w:rsidRPr="0081375C">
              <w:rPr>
                <w:rFonts w:ascii="Arial" w:eastAsia="Arial" w:hAnsi="Arial" w:cs="Arial"/>
                <w:color w:val="000000" w:themeColor="text1"/>
                <w:sz w:val="20"/>
                <w:szCs w:val="20"/>
              </w:rPr>
              <w:t>Hertofauna</w:t>
            </w:r>
            <w:proofErr w:type="spellEnd"/>
          </w:p>
        </w:tc>
        <w:tc>
          <w:tcPr>
            <w:tcW w:w="2438" w:type="dxa"/>
            <w:tcMar>
              <w:left w:w="70" w:type="dxa"/>
              <w:right w:w="70" w:type="dxa"/>
            </w:tcMar>
            <w:vAlign w:val="center"/>
          </w:tcPr>
          <w:p w14:paraId="7238E02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Mastigodryas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danieli</w:t>
            </w:r>
            <w:proofErr w:type="spellEnd"/>
          </w:p>
        </w:tc>
        <w:tc>
          <w:tcPr>
            <w:tcW w:w="1409" w:type="dxa"/>
            <w:tcMar>
              <w:left w:w="70" w:type="dxa"/>
              <w:right w:w="70" w:type="dxa"/>
            </w:tcMar>
            <w:vAlign w:val="center"/>
          </w:tcPr>
          <w:p w14:paraId="0AFCD99F"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21354FF4" w14:textId="77777777" w:rsidR="008766FE" w:rsidRPr="0081375C" w:rsidRDefault="008766FE" w:rsidP="008D3E59">
            <w:pPr>
              <w:jc w:val="center"/>
            </w:pPr>
          </w:p>
        </w:tc>
      </w:tr>
      <w:tr w:rsidR="008766FE" w:rsidRPr="0081375C" w14:paraId="736360BD" w14:textId="77777777" w:rsidTr="008D3E59">
        <w:trPr>
          <w:trHeight w:val="20"/>
        </w:trPr>
        <w:tc>
          <w:tcPr>
            <w:tcW w:w="1677" w:type="dxa"/>
            <w:tcMar>
              <w:left w:w="70" w:type="dxa"/>
              <w:right w:w="70" w:type="dxa"/>
            </w:tcMar>
            <w:vAlign w:val="center"/>
          </w:tcPr>
          <w:p w14:paraId="2B3A2BB4" w14:textId="77777777" w:rsidR="008766FE" w:rsidRPr="0081375C" w:rsidRDefault="008766FE" w:rsidP="008D3E59">
            <w:pPr>
              <w:jc w:val="center"/>
            </w:pPr>
            <w:proofErr w:type="spellStart"/>
            <w:r w:rsidRPr="0081375C">
              <w:rPr>
                <w:rFonts w:ascii="Arial" w:eastAsia="Arial" w:hAnsi="Arial" w:cs="Arial"/>
                <w:color w:val="000000" w:themeColor="text1"/>
                <w:sz w:val="20"/>
                <w:szCs w:val="20"/>
              </w:rPr>
              <w:t>Hertofauna</w:t>
            </w:r>
            <w:proofErr w:type="spellEnd"/>
          </w:p>
        </w:tc>
        <w:tc>
          <w:tcPr>
            <w:tcW w:w="2438" w:type="dxa"/>
            <w:tcMar>
              <w:left w:w="70" w:type="dxa"/>
              <w:right w:w="70" w:type="dxa"/>
            </w:tcMar>
            <w:vAlign w:val="center"/>
          </w:tcPr>
          <w:p w14:paraId="71AB4F89" w14:textId="77777777" w:rsidR="008766FE" w:rsidRPr="0081375C" w:rsidRDefault="008766FE" w:rsidP="008D3E59">
            <w:pPr>
              <w:jc w:val="center"/>
            </w:pPr>
            <w:r w:rsidRPr="0081375C">
              <w:rPr>
                <w:rFonts w:ascii="Arial" w:eastAsia="Arial" w:hAnsi="Arial" w:cs="Arial"/>
                <w:i/>
                <w:iCs/>
                <w:color w:val="000000" w:themeColor="text1"/>
                <w:sz w:val="20"/>
                <w:szCs w:val="20"/>
              </w:rPr>
              <w:t xml:space="preserve">Anolis </w:t>
            </w:r>
            <w:proofErr w:type="spellStart"/>
            <w:r w:rsidRPr="0081375C">
              <w:rPr>
                <w:rFonts w:ascii="Arial" w:eastAsia="Arial" w:hAnsi="Arial" w:cs="Arial"/>
                <w:i/>
                <w:iCs/>
                <w:color w:val="000000" w:themeColor="text1"/>
                <w:sz w:val="20"/>
                <w:szCs w:val="20"/>
              </w:rPr>
              <w:t>mariarum</w:t>
            </w:r>
            <w:proofErr w:type="spellEnd"/>
          </w:p>
        </w:tc>
        <w:tc>
          <w:tcPr>
            <w:tcW w:w="1409" w:type="dxa"/>
            <w:tcMar>
              <w:left w:w="70" w:type="dxa"/>
              <w:right w:w="70" w:type="dxa"/>
            </w:tcMar>
            <w:vAlign w:val="center"/>
          </w:tcPr>
          <w:p w14:paraId="54172EFB"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187248E6" w14:textId="77777777" w:rsidR="008766FE" w:rsidRPr="0081375C" w:rsidRDefault="008766FE" w:rsidP="008D3E59">
            <w:pPr>
              <w:jc w:val="center"/>
            </w:pPr>
          </w:p>
        </w:tc>
      </w:tr>
      <w:tr w:rsidR="008766FE" w:rsidRPr="0081375C" w14:paraId="5D1FD77E" w14:textId="77777777" w:rsidTr="008D3E59">
        <w:trPr>
          <w:trHeight w:val="20"/>
        </w:trPr>
        <w:tc>
          <w:tcPr>
            <w:tcW w:w="1677" w:type="dxa"/>
            <w:tcMar>
              <w:left w:w="70" w:type="dxa"/>
              <w:right w:w="70" w:type="dxa"/>
            </w:tcMar>
            <w:vAlign w:val="center"/>
          </w:tcPr>
          <w:p w14:paraId="468333E9"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326B5839"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Brunellia</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boqueronensis</w:t>
            </w:r>
            <w:proofErr w:type="spellEnd"/>
          </w:p>
        </w:tc>
        <w:tc>
          <w:tcPr>
            <w:tcW w:w="1409" w:type="dxa"/>
            <w:tcMar>
              <w:left w:w="70" w:type="dxa"/>
              <w:right w:w="70" w:type="dxa"/>
            </w:tcMar>
            <w:vAlign w:val="center"/>
          </w:tcPr>
          <w:p w14:paraId="5B244FBB"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1B13AEA6"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1B02770B" w14:textId="77777777" w:rsidTr="008D3E59">
        <w:trPr>
          <w:trHeight w:val="20"/>
        </w:trPr>
        <w:tc>
          <w:tcPr>
            <w:tcW w:w="1677" w:type="dxa"/>
            <w:tcMar>
              <w:left w:w="70" w:type="dxa"/>
              <w:right w:w="70" w:type="dxa"/>
            </w:tcMar>
            <w:vAlign w:val="center"/>
          </w:tcPr>
          <w:p w14:paraId="299AD7AA"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345054E6"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Cedrela</w:t>
            </w:r>
            <w:proofErr w:type="spellEnd"/>
            <w:r w:rsidRPr="0081375C">
              <w:rPr>
                <w:rFonts w:ascii="Arial" w:eastAsia="Arial" w:hAnsi="Arial" w:cs="Arial"/>
                <w:i/>
                <w:iCs/>
                <w:color w:val="000000" w:themeColor="text1"/>
                <w:sz w:val="20"/>
                <w:szCs w:val="20"/>
              </w:rPr>
              <w:t xml:space="preserve"> montana</w:t>
            </w:r>
          </w:p>
        </w:tc>
        <w:tc>
          <w:tcPr>
            <w:tcW w:w="1409" w:type="dxa"/>
            <w:tcMar>
              <w:left w:w="70" w:type="dxa"/>
              <w:right w:w="70" w:type="dxa"/>
            </w:tcMar>
            <w:vAlign w:val="center"/>
          </w:tcPr>
          <w:p w14:paraId="08D5C19E" w14:textId="77777777" w:rsidR="008766FE" w:rsidRPr="0081375C" w:rsidRDefault="008766FE" w:rsidP="008D3E59">
            <w:pPr>
              <w:jc w:val="center"/>
            </w:pPr>
            <w:r w:rsidRPr="0081375C">
              <w:rPr>
                <w:rFonts w:ascii="Arial" w:eastAsia="Arial" w:hAnsi="Arial" w:cs="Arial"/>
                <w:color w:val="000000" w:themeColor="text1"/>
                <w:sz w:val="20"/>
                <w:szCs w:val="20"/>
              </w:rPr>
              <w:t>Nativa</w:t>
            </w:r>
          </w:p>
        </w:tc>
        <w:tc>
          <w:tcPr>
            <w:tcW w:w="3208" w:type="dxa"/>
            <w:tcMar>
              <w:left w:w="70" w:type="dxa"/>
              <w:right w:w="70" w:type="dxa"/>
            </w:tcMar>
            <w:vAlign w:val="center"/>
          </w:tcPr>
          <w:p w14:paraId="0B717782"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07AA85FF" w14:textId="77777777" w:rsidTr="008D3E59">
        <w:trPr>
          <w:trHeight w:val="20"/>
        </w:trPr>
        <w:tc>
          <w:tcPr>
            <w:tcW w:w="1677" w:type="dxa"/>
            <w:tcMar>
              <w:left w:w="70" w:type="dxa"/>
              <w:right w:w="70" w:type="dxa"/>
            </w:tcMar>
            <w:vAlign w:val="center"/>
          </w:tcPr>
          <w:p w14:paraId="489D990B"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61050FBD"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Ceroxylon</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vogelianum</w:t>
            </w:r>
            <w:proofErr w:type="spellEnd"/>
          </w:p>
        </w:tc>
        <w:tc>
          <w:tcPr>
            <w:tcW w:w="1409" w:type="dxa"/>
            <w:tcMar>
              <w:left w:w="70" w:type="dxa"/>
              <w:right w:w="70" w:type="dxa"/>
            </w:tcMar>
            <w:vAlign w:val="center"/>
          </w:tcPr>
          <w:p w14:paraId="1A39B036" w14:textId="77777777" w:rsidR="008766FE" w:rsidRPr="0081375C" w:rsidRDefault="008766FE" w:rsidP="008D3E59">
            <w:pPr>
              <w:jc w:val="center"/>
            </w:pPr>
            <w:r w:rsidRPr="0081375C">
              <w:rPr>
                <w:rFonts w:ascii="Arial" w:eastAsia="Arial" w:hAnsi="Arial" w:cs="Arial"/>
                <w:color w:val="000000" w:themeColor="text1"/>
                <w:sz w:val="20"/>
                <w:szCs w:val="20"/>
              </w:rPr>
              <w:t>Protegida por Ley 61/1985.</w:t>
            </w:r>
          </w:p>
        </w:tc>
        <w:tc>
          <w:tcPr>
            <w:tcW w:w="3208" w:type="dxa"/>
            <w:tcMar>
              <w:left w:w="70" w:type="dxa"/>
              <w:right w:w="70" w:type="dxa"/>
            </w:tcMar>
            <w:vAlign w:val="center"/>
          </w:tcPr>
          <w:p w14:paraId="3229C655" w14:textId="77777777" w:rsidR="008766FE" w:rsidRPr="0081375C" w:rsidRDefault="008766FE" w:rsidP="008D3E59">
            <w:pPr>
              <w:jc w:val="center"/>
            </w:pPr>
            <w:r w:rsidRPr="0081375C">
              <w:rPr>
                <w:rFonts w:ascii="Arial" w:eastAsia="Arial" w:hAnsi="Arial" w:cs="Arial"/>
                <w:color w:val="000000" w:themeColor="text1"/>
                <w:sz w:val="20"/>
                <w:szCs w:val="20"/>
              </w:rPr>
              <w:t>Preocupación Menor (LC)</w:t>
            </w:r>
          </w:p>
        </w:tc>
      </w:tr>
      <w:tr w:rsidR="008766FE" w:rsidRPr="0081375C" w14:paraId="6B8A64C1" w14:textId="77777777" w:rsidTr="008D3E59">
        <w:trPr>
          <w:trHeight w:val="20"/>
        </w:trPr>
        <w:tc>
          <w:tcPr>
            <w:tcW w:w="1677" w:type="dxa"/>
            <w:tcMar>
              <w:left w:w="70" w:type="dxa"/>
              <w:right w:w="70" w:type="dxa"/>
            </w:tcMar>
            <w:vAlign w:val="center"/>
          </w:tcPr>
          <w:p w14:paraId="33E33651"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2EA7A17C"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Eschweilera</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antioquensis</w:t>
            </w:r>
            <w:proofErr w:type="spellEnd"/>
          </w:p>
        </w:tc>
        <w:tc>
          <w:tcPr>
            <w:tcW w:w="1409" w:type="dxa"/>
            <w:tcMar>
              <w:left w:w="70" w:type="dxa"/>
              <w:right w:w="70" w:type="dxa"/>
            </w:tcMar>
            <w:vAlign w:val="center"/>
          </w:tcPr>
          <w:p w14:paraId="6FEAE6A3"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219EFE31" w14:textId="77777777" w:rsidR="008766FE" w:rsidRPr="0081375C" w:rsidRDefault="008766FE" w:rsidP="008D3E59">
            <w:pPr>
              <w:jc w:val="center"/>
            </w:pPr>
            <w:r w:rsidRPr="0081375C">
              <w:rPr>
                <w:rFonts w:ascii="Arial" w:eastAsia="Arial" w:hAnsi="Arial" w:cs="Arial"/>
                <w:color w:val="000000" w:themeColor="text1"/>
                <w:sz w:val="20"/>
                <w:szCs w:val="20"/>
              </w:rPr>
              <w:t>Preocupación Menor (LC)</w:t>
            </w:r>
          </w:p>
        </w:tc>
      </w:tr>
      <w:tr w:rsidR="008766FE" w:rsidRPr="0081375C" w14:paraId="53CFEBD0" w14:textId="77777777" w:rsidTr="008D3E59">
        <w:trPr>
          <w:trHeight w:val="20"/>
        </w:trPr>
        <w:tc>
          <w:tcPr>
            <w:tcW w:w="1677" w:type="dxa"/>
            <w:tcMar>
              <w:left w:w="70" w:type="dxa"/>
              <w:right w:w="70" w:type="dxa"/>
            </w:tcMar>
            <w:vAlign w:val="center"/>
          </w:tcPr>
          <w:p w14:paraId="374840D7"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69EC5457" w14:textId="77777777" w:rsidR="008766FE" w:rsidRPr="0081375C" w:rsidRDefault="008766FE" w:rsidP="008D3E59">
            <w:pPr>
              <w:jc w:val="center"/>
            </w:pPr>
            <w:r w:rsidRPr="0081375C">
              <w:rPr>
                <w:rFonts w:ascii="Arial" w:eastAsia="Arial" w:hAnsi="Arial" w:cs="Arial"/>
                <w:i/>
                <w:iCs/>
                <w:color w:val="000000" w:themeColor="text1"/>
                <w:sz w:val="20"/>
                <w:szCs w:val="20"/>
              </w:rPr>
              <w:t xml:space="preserve">Hieronyma </w:t>
            </w:r>
            <w:proofErr w:type="spellStart"/>
            <w:r w:rsidRPr="0081375C">
              <w:rPr>
                <w:rFonts w:ascii="Arial" w:eastAsia="Arial" w:hAnsi="Arial" w:cs="Arial"/>
                <w:i/>
                <w:iCs/>
                <w:color w:val="000000" w:themeColor="text1"/>
                <w:sz w:val="20"/>
                <w:szCs w:val="20"/>
              </w:rPr>
              <w:t>antioquensis</w:t>
            </w:r>
            <w:proofErr w:type="spellEnd"/>
          </w:p>
        </w:tc>
        <w:tc>
          <w:tcPr>
            <w:tcW w:w="1409" w:type="dxa"/>
            <w:tcMar>
              <w:left w:w="70" w:type="dxa"/>
              <w:right w:w="70" w:type="dxa"/>
            </w:tcMar>
            <w:vAlign w:val="center"/>
          </w:tcPr>
          <w:p w14:paraId="2A6C7E73"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1F3BCA63" w14:textId="77777777" w:rsidR="008766FE" w:rsidRPr="0081375C" w:rsidRDefault="008766FE" w:rsidP="008D3E59">
            <w:pPr>
              <w:jc w:val="center"/>
            </w:pPr>
            <w:r w:rsidRPr="0081375C">
              <w:rPr>
                <w:rFonts w:ascii="Arial" w:eastAsia="Arial" w:hAnsi="Arial" w:cs="Arial"/>
                <w:color w:val="000000" w:themeColor="text1"/>
                <w:sz w:val="20"/>
                <w:szCs w:val="20"/>
              </w:rPr>
              <w:t>En Peligro (EN)</w:t>
            </w:r>
          </w:p>
        </w:tc>
      </w:tr>
      <w:tr w:rsidR="008766FE" w:rsidRPr="0081375C" w14:paraId="478D3726" w14:textId="77777777" w:rsidTr="008D3E59">
        <w:trPr>
          <w:trHeight w:val="20"/>
        </w:trPr>
        <w:tc>
          <w:tcPr>
            <w:tcW w:w="1677" w:type="dxa"/>
            <w:tcMar>
              <w:left w:w="70" w:type="dxa"/>
              <w:right w:w="70" w:type="dxa"/>
            </w:tcMar>
            <w:vAlign w:val="center"/>
          </w:tcPr>
          <w:p w14:paraId="6A967F13"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2A95E70D"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Juglans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neotropica</w:t>
            </w:r>
            <w:proofErr w:type="spellEnd"/>
          </w:p>
        </w:tc>
        <w:tc>
          <w:tcPr>
            <w:tcW w:w="1409" w:type="dxa"/>
            <w:tcMar>
              <w:left w:w="70" w:type="dxa"/>
              <w:right w:w="70" w:type="dxa"/>
            </w:tcMar>
            <w:vAlign w:val="center"/>
          </w:tcPr>
          <w:p w14:paraId="53CDADD2" w14:textId="77777777" w:rsidR="008766FE" w:rsidRPr="0081375C" w:rsidRDefault="008766FE" w:rsidP="008D3E59">
            <w:pPr>
              <w:jc w:val="center"/>
            </w:pPr>
          </w:p>
        </w:tc>
        <w:tc>
          <w:tcPr>
            <w:tcW w:w="3208" w:type="dxa"/>
            <w:tcMar>
              <w:left w:w="70" w:type="dxa"/>
              <w:right w:w="70" w:type="dxa"/>
            </w:tcMar>
            <w:vAlign w:val="center"/>
          </w:tcPr>
          <w:p w14:paraId="149231CD"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6F7FDC36" w14:textId="77777777" w:rsidTr="008D3E59">
        <w:trPr>
          <w:trHeight w:val="20"/>
        </w:trPr>
        <w:tc>
          <w:tcPr>
            <w:tcW w:w="1677" w:type="dxa"/>
            <w:tcMar>
              <w:left w:w="70" w:type="dxa"/>
              <w:right w:w="70" w:type="dxa"/>
            </w:tcMar>
            <w:vAlign w:val="center"/>
          </w:tcPr>
          <w:p w14:paraId="0F89970E"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2C74BD4B"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Meriania</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nobilis</w:t>
            </w:r>
            <w:proofErr w:type="spellEnd"/>
          </w:p>
        </w:tc>
        <w:tc>
          <w:tcPr>
            <w:tcW w:w="1409" w:type="dxa"/>
            <w:tcMar>
              <w:left w:w="70" w:type="dxa"/>
              <w:right w:w="70" w:type="dxa"/>
            </w:tcMar>
            <w:vAlign w:val="center"/>
          </w:tcPr>
          <w:p w14:paraId="158EAB7C"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1D55613B" w14:textId="77777777" w:rsidR="008766FE" w:rsidRPr="0081375C" w:rsidRDefault="008766FE" w:rsidP="008D3E59">
            <w:pPr>
              <w:jc w:val="center"/>
            </w:pPr>
          </w:p>
        </w:tc>
      </w:tr>
      <w:tr w:rsidR="008766FE" w:rsidRPr="0081375C" w14:paraId="1E624790" w14:textId="77777777" w:rsidTr="008D3E59">
        <w:trPr>
          <w:trHeight w:val="20"/>
        </w:trPr>
        <w:tc>
          <w:tcPr>
            <w:tcW w:w="1677" w:type="dxa"/>
            <w:tcMar>
              <w:left w:w="70" w:type="dxa"/>
              <w:right w:w="70" w:type="dxa"/>
            </w:tcMar>
            <w:vAlign w:val="center"/>
          </w:tcPr>
          <w:p w14:paraId="17300446"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2820A043"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Panopsis</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metcalfii</w:t>
            </w:r>
            <w:proofErr w:type="spellEnd"/>
          </w:p>
        </w:tc>
        <w:tc>
          <w:tcPr>
            <w:tcW w:w="1409" w:type="dxa"/>
            <w:tcMar>
              <w:left w:w="70" w:type="dxa"/>
              <w:right w:w="70" w:type="dxa"/>
            </w:tcMar>
            <w:vAlign w:val="center"/>
          </w:tcPr>
          <w:p w14:paraId="06B0F1FA"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4D3FA9CF" w14:textId="77777777" w:rsidR="008766FE" w:rsidRPr="0081375C" w:rsidRDefault="008766FE" w:rsidP="008D3E59">
            <w:pPr>
              <w:jc w:val="center"/>
            </w:pPr>
            <w:r w:rsidRPr="0081375C">
              <w:rPr>
                <w:rFonts w:ascii="Arial" w:eastAsia="Arial" w:hAnsi="Arial" w:cs="Arial"/>
                <w:color w:val="000000" w:themeColor="text1"/>
                <w:sz w:val="20"/>
                <w:szCs w:val="20"/>
              </w:rPr>
              <w:t>No Evaluado (NE)</w:t>
            </w:r>
          </w:p>
        </w:tc>
      </w:tr>
      <w:tr w:rsidR="008766FE" w:rsidRPr="0081375C" w14:paraId="3BE172BD" w14:textId="77777777" w:rsidTr="008D3E59">
        <w:trPr>
          <w:trHeight w:val="20"/>
        </w:trPr>
        <w:tc>
          <w:tcPr>
            <w:tcW w:w="1677" w:type="dxa"/>
            <w:tcMar>
              <w:left w:w="70" w:type="dxa"/>
              <w:right w:w="70" w:type="dxa"/>
            </w:tcMar>
            <w:vAlign w:val="center"/>
          </w:tcPr>
          <w:p w14:paraId="3B601F3A"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719ACB95"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Panopsis</w:t>
            </w:r>
            <w:proofErr w:type="spellEnd"/>
            <w:r w:rsidRPr="0081375C">
              <w:rPr>
                <w:rFonts w:ascii="Arial" w:eastAsia="Arial" w:hAnsi="Arial" w:cs="Arial"/>
                <w:i/>
                <w:iCs/>
                <w:color w:val="000000" w:themeColor="text1"/>
                <w:sz w:val="20"/>
                <w:szCs w:val="20"/>
              </w:rPr>
              <w:t xml:space="preserve"> yolombo</w:t>
            </w:r>
          </w:p>
        </w:tc>
        <w:tc>
          <w:tcPr>
            <w:tcW w:w="1409" w:type="dxa"/>
            <w:tcMar>
              <w:left w:w="70" w:type="dxa"/>
              <w:right w:w="70" w:type="dxa"/>
            </w:tcMar>
            <w:vAlign w:val="center"/>
          </w:tcPr>
          <w:p w14:paraId="5A811953" w14:textId="77777777" w:rsidR="008766FE" w:rsidRPr="0081375C" w:rsidRDefault="008766FE" w:rsidP="008D3E59">
            <w:pPr>
              <w:jc w:val="center"/>
            </w:pPr>
            <w:r w:rsidRPr="0081375C">
              <w:rPr>
                <w:rFonts w:ascii="Arial" w:eastAsia="Arial" w:hAnsi="Arial" w:cs="Arial"/>
                <w:color w:val="000000" w:themeColor="text1"/>
                <w:sz w:val="20"/>
                <w:szCs w:val="20"/>
              </w:rPr>
              <w:t>Endémica</w:t>
            </w:r>
          </w:p>
        </w:tc>
        <w:tc>
          <w:tcPr>
            <w:tcW w:w="3208" w:type="dxa"/>
            <w:tcMar>
              <w:left w:w="70" w:type="dxa"/>
              <w:right w:w="70" w:type="dxa"/>
            </w:tcMar>
            <w:vAlign w:val="center"/>
          </w:tcPr>
          <w:p w14:paraId="25B56B48"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52F8C861" w14:textId="77777777" w:rsidTr="008D3E59">
        <w:trPr>
          <w:trHeight w:val="20"/>
        </w:trPr>
        <w:tc>
          <w:tcPr>
            <w:tcW w:w="1677" w:type="dxa"/>
            <w:tcMar>
              <w:left w:w="70" w:type="dxa"/>
              <w:right w:w="70" w:type="dxa"/>
            </w:tcMar>
            <w:vAlign w:val="center"/>
          </w:tcPr>
          <w:p w14:paraId="52FB7E5F"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152BE7D1" w14:textId="77777777" w:rsidR="008766FE" w:rsidRPr="0081375C" w:rsidRDefault="008766FE" w:rsidP="008D3E59">
            <w:pPr>
              <w:jc w:val="center"/>
            </w:pPr>
            <w:r w:rsidRPr="0081375C">
              <w:rPr>
                <w:rFonts w:ascii="Arial" w:eastAsia="Arial" w:hAnsi="Arial" w:cs="Arial"/>
                <w:i/>
                <w:iCs/>
                <w:color w:val="000000" w:themeColor="text1"/>
                <w:sz w:val="20"/>
                <w:szCs w:val="20"/>
              </w:rPr>
              <w:t xml:space="preserve">Quercus </w:t>
            </w:r>
            <w:proofErr w:type="spellStart"/>
            <w:r w:rsidRPr="0081375C">
              <w:rPr>
                <w:rFonts w:ascii="Arial" w:eastAsia="Arial" w:hAnsi="Arial" w:cs="Arial"/>
                <w:i/>
                <w:iCs/>
                <w:color w:val="000000" w:themeColor="text1"/>
                <w:sz w:val="20"/>
                <w:szCs w:val="20"/>
              </w:rPr>
              <w:t>humboldtii</w:t>
            </w:r>
            <w:proofErr w:type="spellEnd"/>
          </w:p>
        </w:tc>
        <w:tc>
          <w:tcPr>
            <w:tcW w:w="1409" w:type="dxa"/>
            <w:tcMar>
              <w:left w:w="70" w:type="dxa"/>
              <w:right w:w="70" w:type="dxa"/>
            </w:tcMar>
            <w:vAlign w:val="center"/>
          </w:tcPr>
          <w:p w14:paraId="50690694" w14:textId="77777777" w:rsidR="008766FE" w:rsidRPr="0081375C" w:rsidRDefault="008766FE" w:rsidP="008D3E59">
            <w:pPr>
              <w:jc w:val="center"/>
            </w:pPr>
            <w:r w:rsidRPr="0081375C">
              <w:rPr>
                <w:rFonts w:ascii="Arial" w:eastAsia="Arial" w:hAnsi="Arial" w:cs="Arial"/>
                <w:color w:val="000000" w:themeColor="text1"/>
                <w:sz w:val="20"/>
                <w:szCs w:val="20"/>
              </w:rPr>
              <w:t>Casi-endémica</w:t>
            </w:r>
          </w:p>
        </w:tc>
        <w:tc>
          <w:tcPr>
            <w:tcW w:w="3208" w:type="dxa"/>
            <w:tcMar>
              <w:left w:w="70" w:type="dxa"/>
              <w:right w:w="70" w:type="dxa"/>
            </w:tcMar>
            <w:vAlign w:val="center"/>
          </w:tcPr>
          <w:p w14:paraId="682E4ACF" w14:textId="77777777" w:rsidR="008766FE" w:rsidRPr="0081375C" w:rsidRDefault="008766FE" w:rsidP="008D3E59">
            <w:pPr>
              <w:jc w:val="center"/>
            </w:pPr>
            <w:r w:rsidRPr="0081375C">
              <w:rPr>
                <w:rFonts w:ascii="Arial" w:eastAsia="Arial" w:hAnsi="Arial" w:cs="Arial"/>
                <w:color w:val="000000" w:themeColor="text1"/>
                <w:sz w:val="20"/>
                <w:szCs w:val="20"/>
              </w:rPr>
              <w:t>Vulnerable (VU)</w:t>
            </w:r>
          </w:p>
        </w:tc>
      </w:tr>
      <w:tr w:rsidR="008766FE" w:rsidRPr="0081375C" w14:paraId="515BA018" w14:textId="77777777" w:rsidTr="008D3E59">
        <w:trPr>
          <w:trHeight w:val="20"/>
        </w:trPr>
        <w:tc>
          <w:tcPr>
            <w:tcW w:w="1677" w:type="dxa"/>
            <w:tcMar>
              <w:left w:w="70" w:type="dxa"/>
              <w:right w:w="70" w:type="dxa"/>
            </w:tcMar>
            <w:vAlign w:val="center"/>
          </w:tcPr>
          <w:p w14:paraId="2D2C21A2" w14:textId="77777777" w:rsidR="008766FE" w:rsidRPr="0081375C" w:rsidRDefault="008766FE" w:rsidP="008D3E59">
            <w:pPr>
              <w:jc w:val="center"/>
            </w:pPr>
            <w:r w:rsidRPr="0081375C">
              <w:rPr>
                <w:rFonts w:ascii="Arial" w:eastAsia="Arial" w:hAnsi="Arial" w:cs="Arial"/>
                <w:color w:val="000000" w:themeColor="text1"/>
                <w:sz w:val="20"/>
                <w:szCs w:val="20"/>
              </w:rPr>
              <w:t>Flora</w:t>
            </w:r>
          </w:p>
        </w:tc>
        <w:tc>
          <w:tcPr>
            <w:tcW w:w="2438" w:type="dxa"/>
            <w:tcMar>
              <w:left w:w="70" w:type="dxa"/>
              <w:right w:w="70" w:type="dxa"/>
            </w:tcMar>
            <w:vAlign w:val="center"/>
          </w:tcPr>
          <w:p w14:paraId="11130903" w14:textId="77777777" w:rsidR="008766FE" w:rsidRPr="0081375C" w:rsidRDefault="008766FE" w:rsidP="008D3E59">
            <w:pPr>
              <w:jc w:val="center"/>
            </w:pPr>
            <w:proofErr w:type="spellStart"/>
            <w:r w:rsidRPr="0081375C">
              <w:rPr>
                <w:rFonts w:ascii="Arial" w:eastAsia="Arial" w:hAnsi="Arial" w:cs="Arial"/>
                <w:i/>
                <w:iCs/>
                <w:color w:val="000000" w:themeColor="text1"/>
                <w:sz w:val="20"/>
                <w:szCs w:val="20"/>
              </w:rPr>
              <w:t>Retrophyllum</w:t>
            </w:r>
            <w:proofErr w:type="spellEnd"/>
            <w:r w:rsidRPr="0081375C">
              <w:rPr>
                <w:rFonts w:ascii="Arial" w:eastAsia="Arial" w:hAnsi="Arial" w:cs="Arial"/>
                <w:i/>
                <w:iCs/>
                <w:color w:val="000000" w:themeColor="text1"/>
                <w:sz w:val="20"/>
                <w:szCs w:val="20"/>
              </w:rPr>
              <w:t xml:space="preserve"> </w:t>
            </w:r>
            <w:proofErr w:type="spellStart"/>
            <w:r w:rsidRPr="0081375C">
              <w:rPr>
                <w:rFonts w:ascii="Arial" w:eastAsia="Arial" w:hAnsi="Arial" w:cs="Arial"/>
                <w:i/>
                <w:iCs/>
                <w:color w:val="000000" w:themeColor="text1"/>
                <w:sz w:val="20"/>
                <w:szCs w:val="20"/>
              </w:rPr>
              <w:t>rospigliosii</w:t>
            </w:r>
            <w:proofErr w:type="spellEnd"/>
          </w:p>
        </w:tc>
        <w:tc>
          <w:tcPr>
            <w:tcW w:w="1409" w:type="dxa"/>
            <w:tcMar>
              <w:left w:w="70" w:type="dxa"/>
              <w:right w:w="70" w:type="dxa"/>
            </w:tcMar>
            <w:vAlign w:val="center"/>
          </w:tcPr>
          <w:p w14:paraId="224D84AB" w14:textId="77777777" w:rsidR="008766FE" w:rsidRPr="0081375C" w:rsidRDefault="008766FE" w:rsidP="008D3E59">
            <w:pPr>
              <w:jc w:val="center"/>
            </w:pPr>
            <w:r w:rsidRPr="0081375C">
              <w:rPr>
                <w:rFonts w:ascii="Arial" w:eastAsia="Arial" w:hAnsi="Arial" w:cs="Arial"/>
                <w:color w:val="000000" w:themeColor="text1"/>
                <w:sz w:val="20"/>
                <w:szCs w:val="20"/>
              </w:rPr>
              <w:t>Nativa</w:t>
            </w:r>
          </w:p>
        </w:tc>
        <w:tc>
          <w:tcPr>
            <w:tcW w:w="3208" w:type="dxa"/>
            <w:tcMar>
              <w:left w:w="70" w:type="dxa"/>
              <w:right w:w="70" w:type="dxa"/>
            </w:tcMar>
            <w:vAlign w:val="center"/>
          </w:tcPr>
          <w:p w14:paraId="12E76007" w14:textId="77777777" w:rsidR="008766FE" w:rsidRPr="0081375C" w:rsidRDefault="008766FE" w:rsidP="008D3E59">
            <w:pPr>
              <w:jc w:val="center"/>
            </w:pPr>
            <w:r w:rsidRPr="0081375C">
              <w:rPr>
                <w:rFonts w:ascii="Arial" w:eastAsia="Arial" w:hAnsi="Arial" w:cs="Arial"/>
                <w:color w:val="000000" w:themeColor="text1"/>
                <w:sz w:val="20"/>
                <w:szCs w:val="20"/>
              </w:rPr>
              <w:t>Preocupación Menor (LC)</w:t>
            </w:r>
          </w:p>
        </w:tc>
      </w:tr>
    </w:tbl>
    <w:p w14:paraId="4319915C" w14:textId="77777777" w:rsidR="008766FE" w:rsidRPr="0081375C" w:rsidRDefault="008766FE" w:rsidP="008766FE">
      <w:pPr>
        <w:spacing w:line="23" w:lineRule="atLeast"/>
        <w:jc w:val="both"/>
        <w:rPr>
          <w:rFonts w:ascii="Arial" w:eastAsia="Aptos" w:hAnsi="Arial" w:cs="Arial"/>
          <w:color w:val="000000" w:themeColor="text1"/>
        </w:rPr>
      </w:pPr>
    </w:p>
    <w:p w14:paraId="46EA4BB1" w14:textId="77777777" w:rsidR="008766FE" w:rsidRPr="0081375C" w:rsidRDefault="008766FE" w:rsidP="008766FE">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Desempates</w:t>
      </w:r>
    </w:p>
    <w:p w14:paraId="256693E7" w14:textId="77777777" w:rsidR="008766FE" w:rsidRPr="0081375C" w:rsidRDefault="008766FE" w:rsidP="008766FE">
      <w:pPr>
        <w:rPr>
          <w:rFonts w:ascii="Arial" w:hAnsi="Arial" w:cs="Arial"/>
        </w:rPr>
      </w:pPr>
    </w:p>
    <w:p w14:paraId="6B44CD26"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Cuando dos o más predios obtengan el mismo puntaje ponderado, o presenten puntajes muy similares dentro del margen definido por el equipo técnico y sea necesario aplicar un desempate, se aplicarán de manera consecutiva los siguientes criterios. Cada criterio se utilizará únicamente cuando el anterior no permita establecer una diferencia entre los predios evaluados.</w:t>
      </w:r>
    </w:p>
    <w:p w14:paraId="497F088A" w14:textId="77777777" w:rsidR="008766FE" w:rsidRPr="0081375C" w:rsidRDefault="008766FE" w:rsidP="008766FE">
      <w:pPr>
        <w:spacing w:line="23" w:lineRule="atLeast"/>
        <w:jc w:val="both"/>
        <w:rPr>
          <w:rFonts w:ascii="Arial" w:eastAsia="Arial" w:hAnsi="Arial" w:cs="Arial"/>
          <w:color w:val="000000" w:themeColor="text1"/>
        </w:rPr>
      </w:pPr>
    </w:p>
    <w:p w14:paraId="297778F7"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1. Mayor Idoneidad de Hábitat para Especies de Interés para la Conservación</w:t>
      </w:r>
    </w:p>
    <w:p w14:paraId="6768659C"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primer lugar, se priorizará el predio que presente la categoría más alta de idoneidad de hábitat para especies endémicas, amenazadas, de distribución restringida o de especial interés para la conservación, pertenecientes a los grupos de flora, aves, mamíferos y </w:t>
      </w:r>
      <w:proofErr w:type="spellStart"/>
      <w:r w:rsidRPr="0081375C">
        <w:rPr>
          <w:rFonts w:ascii="Arial" w:eastAsia="Arial" w:hAnsi="Arial" w:cs="Arial"/>
          <w:color w:val="000000" w:themeColor="text1"/>
        </w:rPr>
        <w:t>herpetofauna</w:t>
      </w:r>
      <w:proofErr w:type="spellEnd"/>
      <w:r w:rsidRPr="0081375C">
        <w:rPr>
          <w:rFonts w:ascii="Arial" w:eastAsia="Arial" w:hAnsi="Arial" w:cs="Arial"/>
          <w:color w:val="000000" w:themeColor="text1"/>
        </w:rPr>
        <w:t>.</w:t>
      </w:r>
    </w:p>
    <w:p w14:paraId="2B0EEF42" w14:textId="77777777" w:rsidR="008766FE" w:rsidRPr="0081375C" w:rsidRDefault="008766FE" w:rsidP="008766FE">
      <w:pPr>
        <w:spacing w:line="23" w:lineRule="atLeast"/>
        <w:jc w:val="both"/>
        <w:rPr>
          <w:rFonts w:ascii="Arial" w:eastAsia="Arial" w:hAnsi="Arial" w:cs="Arial"/>
          <w:color w:val="000000" w:themeColor="text1"/>
        </w:rPr>
      </w:pPr>
    </w:p>
    <w:p w14:paraId="76FD8BCB"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Cuando dos o más predios se encuentren en la misma categoría de idoneidad (por ejemplo, idoneidad alta), se seleccionará aquel que presente condiciones de hábitat adecuadas para un mayor número de especies de interés para la conservación, de acuerdo con los resultados de los modelos de distribución de especies.</w:t>
      </w:r>
    </w:p>
    <w:p w14:paraId="77E8DC42" w14:textId="77777777" w:rsidR="008766FE" w:rsidRPr="0081375C" w:rsidRDefault="008766FE" w:rsidP="008766FE">
      <w:pPr>
        <w:spacing w:line="23" w:lineRule="atLeast"/>
        <w:jc w:val="both"/>
        <w:rPr>
          <w:rFonts w:ascii="Arial" w:eastAsia="Arial" w:hAnsi="Arial" w:cs="Arial"/>
          <w:color w:val="000000" w:themeColor="text1"/>
        </w:rPr>
      </w:pPr>
    </w:p>
    <w:p w14:paraId="3B56D75F"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Si el empate persiste, se priorizará el predio que tenga la mayor proporción de su área elegible localizada en zonas de alta idoneidad. Cuando esta proporción sea igual entre los predios comparados, se seleccionará aquel que presente la mayor extensión, expresada en hectáreas, dentro de dichas zonas.</w:t>
      </w:r>
    </w:p>
    <w:p w14:paraId="0D913A0C" w14:textId="77777777" w:rsidR="008766FE" w:rsidRPr="0081375C" w:rsidRDefault="008766FE" w:rsidP="008766FE">
      <w:pPr>
        <w:spacing w:line="23" w:lineRule="atLeast"/>
        <w:jc w:val="both"/>
        <w:rPr>
          <w:rFonts w:ascii="Arial" w:eastAsia="Arial" w:hAnsi="Arial" w:cs="Arial"/>
          <w:color w:val="000000" w:themeColor="text1"/>
        </w:rPr>
      </w:pPr>
    </w:p>
    <w:p w14:paraId="176C8C5E"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2. Mayor Presencia de Especies de Importancia Ecológica</w:t>
      </w:r>
    </w:p>
    <w:p w14:paraId="3A51B9DB"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Si el criterio anterior no permite resolver el empate, se dará prioridad al predio en el que se haya registrado el mayor número de especies amenazadas, endémicas, de distribución restringida o consideradas estratégicas para la conservación de la biodiversidad del Distrito.</w:t>
      </w:r>
    </w:p>
    <w:p w14:paraId="6C53D9E0" w14:textId="77777777" w:rsidR="008766FE" w:rsidRPr="0081375C" w:rsidRDefault="008766FE" w:rsidP="008766FE">
      <w:pPr>
        <w:spacing w:line="23" w:lineRule="atLeast"/>
        <w:jc w:val="both"/>
        <w:rPr>
          <w:rFonts w:ascii="Arial" w:eastAsia="Arial" w:hAnsi="Arial" w:cs="Arial"/>
          <w:color w:val="000000" w:themeColor="text1"/>
        </w:rPr>
      </w:pPr>
    </w:p>
    <w:p w14:paraId="67DA65FA"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Este criterio se evaluará a partir de los registros biológicos disponibles y permitirá complementar la información obtenida mediante los modelos de distribución con evidencia sobre la presencia conocida de las especies en el territorio.</w:t>
      </w:r>
    </w:p>
    <w:p w14:paraId="40870E8C" w14:textId="77777777" w:rsidR="008766FE" w:rsidRPr="0081375C" w:rsidRDefault="008766FE" w:rsidP="008766FE">
      <w:pPr>
        <w:spacing w:line="23" w:lineRule="atLeast"/>
        <w:jc w:val="both"/>
        <w:rPr>
          <w:rFonts w:ascii="Arial" w:eastAsia="Arial" w:hAnsi="Arial" w:cs="Arial"/>
          <w:color w:val="000000" w:themeColor="text1"/>
        </w:rPr>
      </w:pPr>
    </w:p>
    <w:p w14:paraId="1845EBD3"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Para este análisis, se considerarán amenazadas las especies clasificadas como Vulnerable (VU) o En Peligro (EN) en la Lista Roja de la Unión Internacional para la Conservación de la Naturaleza (UICN), así como aquellas incluidas en los listados nacionales vigentes. En caso de que estos listados sean actualizados o se identifiquen otras especies con alguna categoría de amenaza, dicha información deberá incorporarse al análisis, incluyendo la categoría correspondiente.</w:t>
      </w:r>
    </w:p>
    <w:p w14:paraId="4D74C4C2" w14:textId="77777777" w:rsidR="008766FE" w:rsidRPr="0081375C" w:rsidRDefault="008766FE" w:rsidP="008766FE">
      <w:pPr>
        <w:spacing w:line="23" w:lineRule="atLeast"/>
        <w:jc w:val="both"/>
        <w:rPr>
          <w:rFonts w:ascii="Arial" w:eastAsia="Arial" w:hAnsi="Arial" w:cs="Arial"/>
          <w:color w:val="000000" w:themeColor="text1"/>
        </w:rPr>
      </w:pPr>
    </w:p>
    <w:p w14:paraId="13AD2EC8"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 xml:space="preserve">3. Mayor Singularidad o Diferenciación Biológica </w:t>
      </w:r>
    </w:p>
    <w:p w14:paraId="75E85C22" w14:textId="77777777" w:rsidR="008766FE" w:rsidRPr="0081375C" w:rsidRDefault="008766FE" w:rsidP="008766FE">
      <w:pPr>
        <w:spacing w:line="276" w:lineRule="auto"/>
        <w:jc w:val="both"/>
        <w:rPr>
          <w:rFonts w:ascii="Arial" w:hAnsi="Arial"/>
        </w:rPr>
      </w:pPr>
      <w:r w:rsidRPr="0081375C">
        <w:rPr>
          <w:rFonts w:ascii="Arial" w:eastAsia="Arial" w:hAnsi="Arial" w:cs="Arial"/>
          <w:color w:val="000000" w:themeColor="text1"/>
        </w:rPr>
        <w:t xml:space="preserve">Cuando los criterios anteriores no permitan resolver el empate, se utilizarán los resultados del Modelo Generalizado de Disimilitud (GDM) para comparar la composición biológica potencial de los predios </w:t>
      </w:r>
      <w:r w:rsidRPr="0081375C">
        <w:rPr>
          <w:rFonts w:ascii="Arial" w:hAnsi="Arial" w:cs="Arial"/>
          <w:b/>
          <w:bCs/>
          <w:i/>
          <w:iCs/>
          <w:color w:val="000000" w:themeColor="text1"/>
        </w:rPr>
        <w:t xml:space="preserve">DE-GEAM Modelos Generalizados de </w:t>
      </w:r>
      <w:proofErr w:type="spellStart"/>
      <w:r w:rsidRPr="0081375C">
        <w:rPr>
          <w:rFonts w:ascii="Arial" w:hAnsi="Arial" w:cs="Arial"/>
          <w:b/>
          <w:bCs/>
          <w:i/>
          <w:iCs/>
          <w:color w:val="000000" w:themeColor="text1"/>
        </w:rPr>
        <w:t>Disimilaridad</w:t>
      </w:r>
      <w:proofErr w:type="spellEnd"/>
      <w:r w:rsidRPr="0081375C">
        <w:rPr>
          <w:rFonts w:ascii="Arial" w:hAnsi="Arial" w:cs="Arial"/>
          <w:b/>
          <w:bCs/>
          <w:i/>
          <w:iCs/>
          <w:color w:val="000000" w:themeColor="text1"/>
        </w:rPr>
        <w:t xml:space="preserve"> para la Diversidad</w:t>
      </w:r>
      <w:r w:rsidRPr="0081375C">
        <w:rPr>
          <w:rFonts w:ascii="Arial" w:hAnsi="Arial"/>
        </w:rPr>
        <w:t>.</w:t>
      </w:r>
    </w:p>
    <w:p w14:paraId="6E238E5E" w14:textId="77777777" w:rsidR="008766FE" w:rsidRPr="0081375C" w:rsidRDefault="008766FE" w:rsidP="008766FE">
      <w:pPr>
        <w:spacing w:line="23" w:lineRule="atLeast"/>
        <w:jc w:val="both"/>
        <w:rPr>
          <w:rFonts w:ascii="Arial" w:eastAsia="Arial" w:hAnsi="Arial" w:cs="Arial"/>
          <w:color w:val="000000" w:themeColor="text1"/>
        </w:rPr>
      </w:pPr>
    </w:p>
    <w:p w14:paraId="65199C77"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Se priorizará el predio que presente una composición de especies más diferenciada o singular respecto a los demás predios evaluados o a las áreas previamente seleccionadas. Este criterio permitirá reconocer predios asociados con ensamblajes biológicos particulares y que, por tanto, puedan aportar especies o composiciones biológicas poco representadas dentro del conjunto de áreas priorizadas.</w:t>
      </w:r>
    </w:p>
    <w:p w14:paraId="229465DC" w14:textId="77777777" w:rsidR="008766FE" w:rsidRPr="0081375C" w:rsidRDefault="008766FE" w:rsidP="008766FE">
      <w:pPr>
        <w:spacing w:line="23" w:lineRule="atLeast"/>
        <w:jc w:val="both"/>
        <w:rPr>
          <w:rFonts w:ascii="Arial" w:eastAsia="Arial" w:hAnsi="Arial" w:cs="Arial"/>
          <w:color w:val="000000" w:themeColor="text1"/>
        </w:rPr>
      </w:pPr>
    </w:p>
    <w:p w14:paraId="32148097" w14:textId="77777777" w:rsidR="008766FE" w:rsidRPr="0081375C" w:rsidRDefault="008766FE" w:rsidP="008766FE">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recambio biológico expresa el grado de cambio en la composición de especies entre dos lugares. En este sentido, dos predios que comparten muchas especies presentan un recambio bajo, mientras que dos predios que comparten pocas especies presentan un recambio alto. Por lo tanto, se favorecerán los predios que aporten una mayor </w:t>
      </w:r>
      <w:r w:rsidRPr="0081375C">
        <w:rPr>
          <w:rFonts w:ascii="Arial" w:eastAsia="Arial" w:hAnsi="Arial" w:cs="Arial"/>
          <w:color w:val="000000" w:themeColor="text1"/>
        </w:rPr>
        <w:lastRenderedPageBreak/>
        <w:t>complementariedad ecológica y contribuyan a representar una mayor variedad de ensamblajes de especies en el territorio.</w:t>
      </w:r>
    </w:p>
    <w:p w14:paraId="5795E843" w14:textId="77777777" w:rsidR="008766FE" w:rsidRPr="0081375C" w:rsidRDefault="008766FE" w:rsidP="008766FE">
      <w:pPr>
        <w:spacing w:line="23" w:lineRule="atLeast"/>
        <w:jc w:val="both"/>
        <w:rPr>
          <w:rFonts w:ascii="Arial" w:eastAsia="Arial" w:hAnsi="Arial" w:cs="Arial"/>
          <w:color w:val="000000" w:themeColor="text1"/>
        </w:rPr>
      </w:pPr>
    </w:p>
    <w:p w14:paraId="59BCE1EB" w14:textId="77777777" w:rsidR="00845D5C" w:rsidRPr="0081375C" w:rsidRDefault="00845D5C" w:rsidP="008766FE">
      <w:pPr>
        <w:spacing w:line="23" w:lineRule="atLeast"/>
        <w:jc w:val="both"/>
        <w:rPr>
          <w:rFonts w:ascii="Arial" w:eastAsia="Arial" w:hAnsi="Arial" w:cs="Arial"/>
          <w:color w:val="000000" w:themeColor="text1"/>
        </w:rPr>
      </w:pPr>
    </w:p>
    <w:p w14:paraId="75780E02" w14:textId="77777777" w:rsidR="00845D5C" w:rsidRPr="0081375C" w:rsidRDefault="00845D5C" w:rsidP="008766FE">
      <w:pPr>
        <w:spacing w:line="23" w:lineRule="atLeast"/>
        <w:jc w:val="both"/>
        <w:rPr>
          <w:rFonts w:ascii="Arial" w:eastAsia="Arial" w:hAnsi="Arial" w:cs="Arial"/>
          <w:color w:val="000000" w:themeColor="text1"/>
        </w:rPr>
      </w:pPr>
    </w:p>
    <w:p w14:paraId="2CFC3027" w14:textId="2CCA5BC9" w:rsidR="008766FE" w:rsidRPr="0081375C" w:rsidRDefault="008766FE" w:rsidP="008766FE">
      <w:pPr>
        <w:spacing w:line="23" w:lineRule="atLeast"/>
        <w:jc w:val="both"/>
        <w:rPr>
          <w:rFonts w:ascii="Arial" w:hAnsi="Arial" w:cs="Arial"/>
          <w:b/>
          <w:bCs/>
          <w:color w:val="000000" w:themeColor="text1"/>
          <w:sz w:val="20"/>
          <w:szCs w:val="20"/>
        </w:rPr>
      </w:pPr>
      <w:bookmarkStart w:id="43" w:name="_Toc233040667"/>
      <w:r w:rsidRPr="0081375C">
        <w:rPr>
          <w:rFonts w:ascii="Arial" w:hAnsi="Arial" w:cs="Arial"/>
          <w:b/>
          <w:color w:val="000000" w:themeColor="text1"/>
          <w:sz w:val="20"/>
          <w:szCs w:val="20"/>
        </w:rPr>
        <w:t xml:space="preserve">Tabla </w:t>
      </w:r>
      <w:r w:rsidRPr="0081375C">
        <w:rPr>
          <w:rFonts w:ascii="Arial" w:eastAsia="Arial" w:hAnsi="Arial" w:cs="Arial"/>
          <w:b/>
          <w:bCs/>
          <w:color w:val="000000" w:themeColor="text1"/>
          <w:sz w:val="20"/>
          <w:szCs w:val="20"/>
        </w:rPr>
        <w:fldChar w:fldCharType="begin"/>
      </w:r>
      <w:r w:rsidRPr="0081375C">
        <w:rPr>
          <w:rFonts w:ascii="Arial" w:eastAsia="Arial" w:hAnsi="Arial" w:cs="Arial"/>
          <w:b/>
          <w:bCs/>
          <w:color w:val="000000" w:themeColor="text1"/>
          <w:sz w:val="20"/>
          <w:szCs w:val="20"/>
        </w:rPr>
        <w:instrText xml:space="preserve"> SEQ Tabla \* ARABIC </w:instrText>
      </w:r>
      <w:r w:rsidRPr="0081375C">
        <w:rPr>
          <w:rFonts w:ascii="Arial" w:eastAsia="Arial" w:hAnsi="Arial" w:cs="Arial"/>
          <w:b/>
          <w:bCs/>
          <w:color w:val="000000" w:themeColor="text1"/>
          <w:sz w:val="20"/>
          <w:szCs w:val="20"/>
        </w:rPr>
        <w:fldChar w:fldCharType="separate"/>
      </w:r>
      <w:r w:rsidR="00921CE3" w:rsidRPr="0081375C">
        <w:rPr>
          <w:rFonts w:ascii="Arial" w:eastAsia="Arial" w:hAnsi="Arial" w:cs="Arial"/>
          <w:b/>
          <w:bCs/>
          <w:noProof/>
          <w:color w:val="000000" w:themeColor="text1"/>
          <w:sz w:val="20"/>
          <w:szCs w:val="20"/>
        </w:rPr>
        <w:t>16</w:t>
      </w:r>
      <w:r w:rsidRPr="0081375C">
        <w:rPr>
          <w:rFonts w:ascii="Arial" w:eastAsia="Arial" w:hAnsi="Arial" w:cs="Arial"/>
          <w:b/>
          <w:bCs/>
          <w:color w:val="000000" w:themeColor="text1"/>
          <w:sz w:val="20"/>
          <w:szCs w:val="20"/>
        </w:rPr>
        <w:fldChar w:fldCharType="end"/>
      </w:r>
      <w:r w:rsidRPr="0081375C">
        <w:rPr>
          <w:rFonts w:ascii="Arial" w:eastAsia="Arial" w:hAnsi="Arial" w:cs="Arial"/>
          <w:b/>
          <w:bCs/>
          <w:color w:val="000000" w:themeColor="text1"/>
          <w:sz w:val="20"/>
          <w:szCs w:val="20"/>
        </w:rPr>
        <w:t xml:space="preserve"> </w:t>
      </w:r>
      <w:r w:rsidRPr="0081375C">
        <w:rPr>
          <w:rFonts w:ascii="Arial" w:hAnsi="Arial" w:cs="Arial"/>
          <w:b/>
          <w:bCs/>
          <w:color w:val="000000" w:themeColor="text1"/>
          <w:sz w:val="20"/>
          <w:szCs w:val="20"/>
        </w:rPr>
        <w:t>Ponderación para la selección de predios en casos de desempate</w:t>
      </w:r>
      <w:bookmarkEnd w:id="43"/>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68"/>
        <w:gridCol w:w="883"/>
        <w:gridCol w:w="1130"/>
        <w:gridCol w:w="869"/>
        <w:gridCol w:w="883"/>
        <w:gridCol w:w="1130"/>
        <w:gridCol w:w="854"/>
        <w:gridCol w:w="883"/>
        <w:gridCol w:w="1130"/>
      </w:tblGrid>
      <w:tr w:rsidR="008766FE" w:rsidRPr="0081375C" w14:paraId="1C0778D0" w14:textId="77777777" w:rsidTr="008D3E59">
        <w:trPr>
          <w:trHeight w:val="500"/>
        </w:trPr>
        <w:tc>
          <w:tcPr>
            <w:tcW w:w="2885" w:type="dxa"/>
            <w:gridSpan w:val="3"/>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61D00B87"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Cantidad de especies-Idoneidad de hábitat</w:t>
            </w:r>
          </w:p>
        </w:tc>
        <w:tc>
          <w:tcPr>
            <w:tcW w:w="2885" w:type="dxa"/>
            <w:gridSpan w:val="3"/>
            <w:tcBorders>
              <w:top w:val="single" w:sz="6" w:space="0" w:color="auto"/>
              <w:left w:val="nil"/>
              <w:bottom w:val="single" w:sz="6" w:space="0" w:color="auto"/>
              <w:right w:val="single" w:sz="6" w:space="0" w:color="auto"/>
            </w:tcBorders>
            <w:tcMar>
              <w:top w:w="15" w:type="dxa"/>
              <w:left w:w="15" w:type="dxa"/>
              <w:right w:w="15" w:type="dxa"/>
            </w:tcMar>
            <w:vAlign w:val="center"/>
          </w:tcPr>
          <w:p w14:paraId="05571F33"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Especies amenazadas según UICN</w:t>
            </w:r>
          </w:p>
        </w:tc>
        <w:tc>
          <w:tcPr>
            <w:tcW w:w="2870" w:type="dxa"/>
            <w:gridSpan w:val="3"/>
            <w:tcBorders>
              <w:top w:val="single" w:sz="6" w:space="0" w:color="auto"/>
              <w:left w:val="nil"/>
              <w:bottom w:val="single" w:sz="6" w:space="0" w:color="auto"/>
              <w:right w:val="single" w:sz="6" w:space="0" w:color="auto"/>
            </w:tcBorders>
            <w:tcMar>
              <w:top w:w="15" w:type="dxa"/>
              <w:left w:w="15" w:type="dxa"/>
              <w:right w:w="15" w:type="dxa"/>
            </w:tcMar>
            <w:vAlign w:val="center"/>
          </w:tcPr>
          <w:p w14:paraId="7A54A33E"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Modelo Generalizado de Disimilitud (GDM)</w:t>
            </w:r>
          </w:p>
        </w:tc>
      </w:tr>
      <w:tr w:rsidR="008766FE" w:rsidRPr="0081375C" w14:paraId="460D85C4" w14:textId="77777777" w:rsidTr="008D3E59">
        <w:trPr>
          <w:trHeight w:val="825"/>
        </w:trPr>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65B27DA1"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 xml:space="preserve">Número de especies </w:t>
            </w:r>
          </w:p>
        </w:tc>
        <w:tc>
          <w:tcPr>
            <w:tcW w:w="884" w:type="dxa"/>
            <w:tcBorders>
              <w:top w:val="nil"/>
              <w:left w:val="single" w:sz="6" w:space="0" w:color="auto"/>
              <w:bottom w:val="single" w:sz="6" w:space="0" w:color="auto"/>
              <w:right w:val="single" w:sz="6" w:space="0" w:color="auto"/>
            </w:tcBorders>
            <w:tcMar>
              <w:top w:w="15" w:type="dxa"/>
              <w:left w:w="15" w:type="dxa"/>
              <w:right w:w="15" w:type="dxa"/>
            </w:tcMar>
            <w:vAlign w:val="center"/>
          </w:tcPr>
          <w:p w14:paraId="0B8A80ED"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Peso asignado (%)</w:t>
            </w:r>
          </w:p>
        </w:tc>
        <w:tc>
          <w:tcPr>
            <w:tcW w:w="1131" w:type="dxa"/>
            <w:tcBorders>
              <w:top w:val="nil"/>
              <w:left w:val="single" w:sz="6" w:space="0" w:color="auto"/>
              <w:bottom w:val="single" w:sz="6" w:space="0" w:color="auto"/>
              <w:right w:val="single" w:sz="6" w:space="0" w:color="auto"/>
            </w:tcBorders>
            <w:tcMar>
              <w:top w:w="15" w:type="dxa"/>
              <w:left w:w="15" w:type="dxa"/>
              <w:right w:w="15" w:type="dxa"/>
            </w:tcMar>
            <w:vAlign w:val="center"/>
          </w:tcPr>
          <w:p w14:paraId="5B80CC1A"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Nivel de importancia</w:t>
            </w:r>
          </w:p>
        </w:tc>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7722F0A3"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 xml:space="preserve">Número de especies </w:t>
            </w:r>
          </w:p>
        </w:tc>
        <w:tc>
          <w:tcPr>
            <w:tcW w:w="884" w:type="dxa"/>
            <w:tcBorders>
              <w:top w:val="nil"/>
              <w:left w:val="single" w:sz="6" w:space="0" w:color="auto"/>
              <w:bottom w:val="single" w:sz="6" w:space="0" w:color="auto"/>
              <w:right w:val="single" w:sz="6" w:space="0" w:color="auto"/>
            </w:tcBorders>
            <w:tcMar>
              <w:top w:w="15" w:type="dxa"/>
              <w:left w:w="15" w:type="dxa"/>
              <w:right w:w="15" w:type="dxa"/>
            </w:tcMar>
            <w:vAlign w:val="center"/>
          </w:tcPr>
          <w:p w14:paraId="12768C56"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Peso asignado (%)</w:t>
            </w:r>
          </w:p>
        </w:tc>
        <w:tc>
          <w:tcPr>
            <w:tcW w:w="1131" w:type="dxa"/>
            <w:tcBorders>
              <w:top w:val="nil"/>
              <w:left w:val="single" w:sz="6" w:space="0" w:color="auto"/>
              <w:bottom w:val="single" w:sz="6" w:space="0" w:color="auto"/>
              <w:right w:val="single" w:sz="6" w:space="0" w:color="auto"/>
            </w:tcBorders>
            <w:tcMar>
              <w:top w:w="15" w:type="dxa"/>
              <w:left w:w="15" w:type="dxa"/>
              <w:right w:w="15" w:type="dxa"/>
            </w:tcMar>
            <w:vAlign w:val="center"/>
          </w:tcPr>
          <w:p w14:paraId="68F2811A"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Nivel de importancia</w:t>
            </w:r>
          </w:p>
        </w:tc>
        <w:tc>
          <w:tcPr>
            <w:tcW w:w="855"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3A4FB5B0"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GDM (valores)</w:t>
            </w:r>
          </w:p>
        </w:tc>
        <w:tc>
          <w:tcPr>
            <w:tcW w:w="884" w:type="dxa"/>
            <w:tcBorders>
              <w:top w:val="nil"/>
              <w:left w:val="single" w:sz="6" w:space="0" w:color="auto"/>
              <w:bottom w:val="single" w:sz="6" w:space="0" w:color="auto"/>
              <w:right w:val="single" w:sz="6" w:space="0" w:color="auto"/>
            </w:tcBorders>
            <w:tcMar>
              <w:top w:w="15" w:type="dxa"/>
              <w:left w:w="15" w:type="dxa"/>
              <w:right w:w="15" w:type="dxa"/>
            </w:tcMar>
            <w:vAlign w:val="center"/>
          </w:tcPr>
          <w:p w14:paraId="1EF9E25A"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Peso asignado (%)</w:t>
            </w:r>
          </w:p>
        </w:tc>
        <w:tc>
          <w:tcPr>
            <w:tcW w:w="1131" w:type="dxa"/>
            <w:tcBorders>
              <w:top w:val="nil"/>
              <w:left w:val="single" w:sz="6" w:space="0" w:color="auto"/>
              <w:bottom w:val="single" w:sz="6" w:space="0" w:color="auto"/>
              <w:right w:val="single" w:sz="6" w:space="0" w:color="auto"/>
            </w:tcBorders>
            <w:tcMar>
              <w:top w:w="15" w:type="dxa"/>
              <w:left w:w="15" w:type="dxa"/>
              <w:right w:w="15" w:type="dxa"/>
            </w:tcMar>
            <w:vAlign w:val="center"/>
          </w:tcPr>
          <w:p w14:paraId="736D601F"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Nivel de importancia</w:t>
            </w:r>
          </w:p>
        </w:tc>
      </w:tr>
      <w:tr w:rsidR="008766FE" w:rsidRPr="0081375C" w14:paraId="7944EE4C" w14:textId="77777777" w:rsidTr="008D3E59">
        <w:trPr>
          <w:trHeight w:val="270"/>
        </w:trPr>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0FD17777"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 xml:space="preserve">7 a 10 </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71E0B9BD"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50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554279A0"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Muy alta</w:t>
            </w:r>
          </w:p>
        </w:tc>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7240D39A"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3 a 4</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3C02AB0A"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50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4D686E48"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Muy alta</w:t>
            </w:r>
          </w:p>
        </w:tc>
        <w:tc>
          <w:tcPr>
            <w:tcW w:w="855"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3A5B9D38"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&gt;2,86</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67AB37BF"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50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2E868263"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Muy alta</w:t>
            </w:r>
          </w:p>
        </w:tc>
      </w:tr>
      <w:tr w:rsidR="008766FE" w:rsidRPr="0081375C" w14:paraId="7C34B27E" w14:textId="77777777" w:rsidTr="008D3E59">
        <w:trPr>
          <w:trHeight w:val="270"/>
        </w:trPr>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6476CDBF"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4 a 6</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3CC00735"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30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2DE14888"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Alta</w:t>
            </w:r>
          </w:p>
        </w:tc>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36A85FCD"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2 a 3</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746FFF81"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30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07A9F55F"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Alta</w:t>
            </w:r>
          </w:p>
        </w:tc>
        <w:tc>
          <w:tcPr>
            <w:tcW w:w="855"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1E36FA95"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&gt;1,70 &lt; 2,85</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3E37DB07"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30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7FDA7E85"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Alta</w:t>
            </w:r>
          </w:p>
        </w:tc>
      </w:tr>
      <w:tr w:rsidR="008766FE" w:rsidRPr="0081375C" w14:paraId="03AF9755" w14:textId="77777777" w:rsidTr="008D3E59">
        <w:trPr>
          <w:trHeight w:val="270"/>
        </w:trPr>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0CB0877C"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1 a 3</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6B4A4F53"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20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1CD21499"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Media</w:t>
            </w:r>
          </w:p>
        </w:tc>
        <w:tc>
          <w:tcPr>
            <w:tcW w:w="870"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426CE55C"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1 a 2</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66A7C19A"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20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4CBB2037"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Media</w:t>
            </w:r>
          </w:p>
        </w:tc>
        <w:tc>
          <w:tcPr>
            <w:tcW w:w="855"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41CFADB4"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 xml:space="preserve"> &lt; 1,70</w:t>
            </w:r>
          </w:p>
        </w:tc>
        <w:tc>
          <w:tcPr>
            <w:tcW w:w="884"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5747B66B"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20</w:t>
            </w:r>
          </w:p>
        </w:tc>
        <w:tc>
          <w:tcPr>
            <w:tcW w:w="1131" w:type="dxa"/>
            <w:tcBorders>
              <w:top w:val="single" w:sz="6" w:space="0" w:color="auto"/>
              <w:left w:val="single" w:sz="6" w:space="0" w:color="auto"/>
              <w:bottom w:val="single" w:sz="6" w:space="0" w:color="auto"/>
              <w:right w:val="single" w:sz="6" w:space="0" w:color="auto"/>
            </w:tcBorders>
            <w:tcMar>
              <w:top w:w="15" w:type="dxa"/>
              <w:left w:w="15" w:type="dxa"/>
              <w:right w:w="15" w:type="dxa"/>
            </w:tcMar>
            <w:vAlign w:val="center"/>
          </w:tcPr>
          <w:p w14:paraId="752E1384" w14:textId="77777777" w:rsidR="008766FE" w:rsidRPr="0081375C" w:rsidRDefault="008766FE" w:rsidP="008D3E59">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Media</w:t>
            </w:r>
          </w:p>
        </w:tc>
      </w:tr>
    </w:tbl>
    <w:p w14:paraId="024D4C68" w14:textId="77777777" w:rsidR="008766FE" w:rsidRPr="0081375C" w:rsidRDefault="008766FE" w:rsidP="008766FE">
      <w:pPr>
        <w:spacing w:line="23" w:lineRule="atLeast"/>
        <w:jc w:val="both"/>
        <w:rPr>
          <w:rFonts w:ascii="Arial" w:eastAsia="Arial" w:hAnsi="Arial" w:cs="Arial"/>
          <w:sz w:val="20"/>
          <w:szCs w:val="20"/>
        </w:rPr>
      </w:pPr>
      <w:r w:rsidRPr="0081375C">
        <w:rPr>
          <w:rFonts w:ascii="Arial" w:eastAsia="Arial" w:hAnsi="Arial" w:cs="Arial"/>
          <w:color w:val="000000" w:themeColor="text1"/>
          <w:sz w:val="20"/>
          <w:szCs w:val="20"/>
        </w:rPr>
        <w:t>Nota: dos predios con muchas especies compartidas presentan un bajo recambio, es decir, ecosistemas muy similares, mientras que dos predios con pocas especies compartidas presentan alto recambio, es decir, ecosistemas diferentes</w:t>
      </w:r>
    </w:p>
    <w:p w14:paraId="1848493F" w14:textId="77777777" w:rsidR="008766FE" w:rsidRPr="0081375C" w:rsidRDefault="008766FE" w:rsidP="003F6B53">
      <w:pPr>
        <w:spacing w:line="23" w:lineRule="atLeast"/>
        <w:jc w:val="both"/>
        <w:rPr>
          <w:rFonts w:ascii="Arial" w:eastAsia="Arial" w:hAnsi="Arial" w:cs="Arial"/>
          <w:color w:val="000000" w:themeColor="text1"/>
        </w:rPr>
      </w:pPr>
    </w:p>
    <w:p w14:paraId="70C8E18E" w14:textId="2D3B8E17" w:rsidR="00825D4D" w:rsidRPr="0081375C" w:rsidRDefault="00806784" w:rsidP="004A1EB8">
      <w:pPr>
        <w:pStyle w:val="Ttulo4"/>
        <w:numPr>
          <w:ilvl w:val="3"/>
          <w:numId w:val="27"/>
        </w:numPr>
        <w:spacing w:before="0" w:after="0" w:line="23" w:lineRule="atLeast"/>
        <w:rPr>
          <w:rFonts w:eastAsia="Aptos" w:cs="Arial"/>
          <w:bCs/>
          <w:color w:val="000000" w:themeColor="text1"/>
        </w:rPr>
      </w:pPr>
      <w:r w:rsidRPr="0081375C">
        <w:rPr>
          <w:rFonts w:eastAsia="Aptos" w:cs="Arial"/>
          <w:bCs/>
          <w:color w:val="000000" w:themeColor="text1"/>
        </w:rPr>
        <w:t>Priorización</w:t>
      </w:r>
      <w:r w:rsidR="003A2266" w:rsidRPr="0081375C">
        <w:rPr>
          <w:rFonts w:eastAsia="Aptos" w:cs="Arial"/>
          <w:bCs/>
          <w:color w:val="000000" w:themeColor="text1"/>
        </w:rPr>
        <w:t xml:space="preserve"> </w:t>
      </w:r>
      <w:r w:rsidR="00F070F6" w:rsidRPr="0081375C">
        <w:rPr>
          <w:rFonts w:eastAsia="Aptos" w:cs="Arial"/>
          <w:bCs/>
          <w:color w:val="000000" w:themeColor="text1"/>
        </w:rPr>
        <w:t>P</w:t>
      </w:r>
      <w:r w:rsidRPr="0081375C">
        <w:rPr>
          <w:rFonts w:eastAsia="Aptos" w:cs="Arial"/>
          <w:bCs/>
          <w:color w:val="000000" w:themeColor="text1"/>
        </w:rPr>
        <w:t>redios PSAH</w:t>
      </w:r>
    </w:p>
    <w:p w14:paraId="3CED7794" w14:textId="77777777" w:rsidR="00CD651A" w:rsidRPr="0081375C" w:rsidRDefault="00CD651A" w:rsidP="00CD651A">
      <w:pPr>
        <w:rPr>
          <w:rFonts w:ascii="Arial" w:hAnsi="Arial" w:cs="Arial"/>
        </w:rPr>
      </w:pPr>
    </w:p>
    <w:p w14:paraId="43F0D9E4" w14:textId="77777777" w:rsidR="00825D4D" w:rsidRPr="0081375C" w:rsidRDefault="608C8B8C"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Esta actividad requiere la superposición del polígono del ecosistema estratégico, el área designada para la implementación y la cartografía catastral del Distrito, para identificar todos los predios con área dentro de área priorizada. Los predios sin área dentro del polígono quedan excluidos desde el inicio, y esa exclusión se registra con su justificación.</w:t>
      </w:r>
    </w:p>
    <w:p w14:paraId="3C36ED06" w14:textId="6207E5B6" w:rsidR="7670D8C4" w:rsidRPr="0081375C" w:rsidRDefault="7670D8C4" w:rsidP="7670D8C4">
      <w:pPr>
        <w:spacing w:line="23" w:lineRule="atLeast"/>
        <w:jc w:val="both"/>
        <w:rPr>
          <w:rFonts w:ascii="Arial" w:eastAsia="Aptos" w:hAnsi="Arial" w:cs="Arial"/>
          <w:color w:val="000000" w:themeColor="text1"/>
        </w:rPr>
      </w:pPr>
    </w:p>
    <w:p w14:paraId="05E2DE22" w14:textId="3E81FA0F" w:rsidR="00825D4D" w:rsidRPr="0081375C" w:rsidRDefault="00825D4D"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Antes de ejecutar la puntuación, se deben construir y validar ocho capas SIG derivadas a partir de capas base institucionales. Estas capas derivadas son el insumo directo de los criterios de puntuación. Sin ellas, el análisis no puede ejecutarse. La tabla siguiente describe las capas derivadas, su origen y el método de construcción.</w:t>
      </w:r>
    </w:p>
    <w:p w14:paraId="18075F13" w14:textId="77777777" w:rsidR="00CD651A" w:rsidRPr="0081375C" w:rsidRDefault="00CD651A" w:rsidP="003F6B53">
      <w:pPr>
        <w:spacing w:line="23" w:lineRule="atLeast"/>
        <w:jc w:val="both"/>
        <w:rPr>
          <w:rFonts w:ascii="Arial" w:eastAsia="Aptos" w:hAnsi="Arial" w:cs="Arial"/>
          <w:color w:val="000000" w:themeColor="text1"/>
        </w:rPr>
      </w:pPr>
    </w:p>
    <w:p w14:paraId="6B7069CF" w14:textId="0AF3E0D1" w:rsidR="00825D4D" w:rsidRPr="0081375C" w:rsidRDefault="00806784" w:rsidP="003F6B53">
      <w:pPr>
        <w:spacing w:line="23" w:lineRule="atLeast"/>
        <w:jc w:val="both"/>
        <w:rPr>
          <w:rFonts w:ascii="Arial" w:hAnsi="Arial" w:cs="Arial"/>
          <w:b/>
          <w:bCs/>
          <w:color w:val="000000" w:themeColor="text1"/>
          <w:sz w:val="20"/>
          <w:szCs w:val="20"/>
        </w:rPr>
      </w:pPr>
      <w:bookmarkStart w:id="44" w:name="_Toc233040662"/>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17</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w:t>
      </w:r>
      <w:r w:rsidRPr="0081375C">
        <w:rPr>
          <w:rFonts w:ascii="Arial" w:eastAsia="Aptos" w:hAnsi="Arial" w:cs="Arial"/>
          <w:b/>
          <w:bCs/>
          <w:color w:val="000000" w:themeColor="text1"/>
          <w:sz w:val="20"/>
          <w:szCs w:val="20"/>
        </w:rPr>
        <w:t>Capas derivadas, origen y el método de construcción</w:t>
      </w:r>
      <w:bookmarkEnd w:id="44"/>
    </w:p>
    <w:tbl>
      <w:tblPr>
        <w:tblW w:w="8634" w:type="dxa"/>
        <w:tblLayout w:type="fixed"/>
        <w:tblLook w:val="0600" w:firstRow="0" w:lastRow="0" w:firstColumn="0" w:lastColumn="0" w:noHBand="1" w:noVBand="1"/>
      </w:tblPr>
      <w:tblGrid>
        <w:gridCol w:w="1129"/>
        <w:gridCol w:w="2266"/>
        <w:gridCol w:w="1995"/>
        <w:gridCol w:w="3244"/>
      </w:tblGrid>
      <w:tr w:rsidR="00825D4D" w:rsidRPr="0081375C" w14:paraId="5AB35F7C" w14:textId="77777777" w:rsidTr="006838DD">
        <w:trPr>
          <w:trHeight w:val="113"/>
          <w:tblHeader/>
        </w:trPr>
        <w:tc>
          <w:tcPr>
            <w:tcW w:w="1129" w:type="dxa"/>
            <w:tcBorders>
              <w:top w:val="single" w:sz="4" w:space="0" w:color="000000"/>
              <w:left w:val="single" w:sz="4" w:space="0" w:color="000000"/>
              <w:bottom w:val="single" w:sz="4" w:space="0" w:color="000000"/>
              <w:right w:val="single" w:sz="4" w:space="0" w:color="000000"/>
            </w:tcBorders>
            <w:vAlign w:val="center"/>
          </w:tcPr>
          <w:p w14:paraId="52981186" w14:textId="77777777" w:rsidR="00825D4D" w:rsidRPr="0081375C" w:rsidRDefault="00806784" w:rsidP="006838DD">
            <w:pPr>
              <w:jc w:val="center"/>
              <w:rPr>
                <w:rFonts w:ascii="Arial" w:eastAsia="Arial" w:hAnsi="Arial" w:cs="Arial"/>
                <w:b/>
                <w:color w:val="000000" w:themeColor="text1"/>
                <w:sz w:val="18"/>
                <w:szCs w:val="18"/>
              </w:rPr>
            </w:pPr>
            <w:r w:rsidRPr="0081375C">
              <w:rPr>
                <w:rFonts w:ascii="Arial" w:eastAsia="Arial" w:hAnsi="Arial" w:cs="Arial"/>
                <w:b/>
                <w:color w:val="000000" w:themeColor="text1"/>
                <w:sz w:val="18"/>
                <w:szCs w:val="18"/>
              </w:rPr>
              <w:t>Número</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E52E1A"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b/>
                <w:bCs/>
                <w:color w:val="000000" w:themeColor="text1"/>
                <w:sz w:val="18"/>
                <w:szCs w:val="18"/>
              </w:rPr>
              <w:t>Capa derivada</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266EEB"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b/>
                <w:bCs/>
                <w:color w:val="000000" w:themeColor="text1"/>
                <w:sz w:val="18"/>
                <w:szCs w:val="18"/>
              </w:rPr>
              <w:t>Capas base</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79EE2F"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b/>
                <w:bCs/>
                <w:color w:val="000000" w:themeColor="text1"/>
                <w:sz w:val="18"/>
                <w:szCs w:val="18"/>
              </w:rPr>
              <w:t>Método</w:t>
            </w:r>
          </w:p>
        </w:tc>
      </w:tr>
      <w:tr w:rsidR="00825D4D" w:rsidRPr="0081375C" w14:paraId="0194E8EF" w14:textId="77777777" w:rsidTr="006838DD">
        <w:trPr>
          <w:trHeight w:val="113"/>
        </w:trPr>
        <w:tc>
          <w:tcPr>
            <w:tcW w:w="1129" w:type="dxa"/>
            <w:tcBorders>
              <w:top w:val="single" w:sz="4" w:space="0" w:color="000000"/>
              <w:left w:val="single" w:sz="4" w:space="0" w:color="000000"/>
              <w:bottom w:val="single" w:sz="4" w:space="0" w:color="000000"/>
              <w:right w:val="single" w:sz="4" w:space="0" w:color="000000"/>
            </w:tcBorders>
            <w:vAlign w:val="center"/>
          </w:tcPr>
          <w:p w14:paraId="2E62ECCB"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1</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22EBEF"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Retiro 30 m a red hídrica</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C1EE89"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Red hídrica</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E8FF3F"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Buffer 30 m</w:t>
            </w:r>
          </w:p>
        </w:tc>
      </w:tr>
      <w:tr w:rsidR="00825D4D" w:rsidRPr="0081375C" w14:paraId="4FC41154" w14:textId="77777777" w:rsidTr="006838DD">
        <w:trPr>
          <w:trHeight w:val="23"/>
        </w:trPr>
        <w:tc>
          <w:tcPr>
            <w:tcW w:w="1129" w:type="dxa"/>
            <w:tcBorders>
              <w:top w:val="single" w:sz="4" w:space="0" w:color="000000"/>
              <w:left w:val="single" w:sz="4" w:space="0" w:color="000000"/>
              <w:bottom w:val="single" w:sz="4" w:space="0" w:color="000000"/>
              <w:right w:val="single" w:sz="4" w:space="0" w:color="000000"/>
            </w:tcBorders>
            <w:vAlign w:val="center"/>
          </w:tcPr>
          <w:p w14:paraId="48B8D285"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2</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710CE9"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Retiro 100 m a nacimientos</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092EB9"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Nacimientos</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522E39"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Buffer 100 m</w:t>
            </w:r>
          </w:p>
        </w:tc>
      </w:tr>
      <w:tr w:rsidR="00825D4D" w:rsidRPr="0081375C" w14:paraId="076D3320" w14:textId="77777777" w:rsidTr="006838DD">
        <w:trPr>
          <w:trHeight w:val="237"/>
        </w:trPr>
        <w:tc>
          <w:tcPr>
            <w:tcW w:w="1129" w:type="dxa"/>
            <w:tcBorders>
              <w:top w:val="single" w:sz="4" w:space="0" w:color="000000"/>
              <w:left w:val="single" w:sz="4" w:space="0" w:color="000000"/>
              <w:bottom w:val="single" w:sz="4" w:space="0" w:color="000000"/>
              <w:right w:val="single" w:sz="4" w:space="0" w:color="000000"/>
            </w:tcBorders>
            <w:vAlign w:val="center"/>
          </w:tcPr>
          <w:p w14:paraId="2FD9AE71"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3</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05E03E"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Retiro 100 m a ojos de sal</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789764"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Ojos de sal</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54D49C"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Buffer 100 m</w:t>
            </w:r>
          </w:p>
        </w:tc>
      </w:tr>
      <w:tr w:rsidR="00825D4D" w:rsidRPr="0081375C" w14:paraId="3E2B6AD1" w14:textId="77777777" w:rsidTr="006838DD">
        <w:trPr>
          <w:trHeight w:val="33"/>
        </w:trPr>
        <w:tc>
          <w:tcPr>
            <w:tcW w:w="1129" w:type="dxa"/>
            <w:tcBorders>
              <w:top w:val="single" w:sz="4" w:space="0" w:color="000000"/>
              <w:left w:val="single" w:sz="4" w:space="0" w:color="000000"/>
              <w:bottom w:val="single" w:sz="4" w:space="0" w:color="000000"/>
              <w:right w:val="single" w:sz="4" w:space="0" w:color="000000"/>
            </w:tcBorders>
            <w:vAlign w:val="center"/>
          </w:tcPr>
          <w:p w14:paraId="034F0CEC"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4</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AF795A"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Retiro 100 m a bocatomas</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CF2D58"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Bocatomas</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0B438E"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Buffer 100 m</w:t>
            </w:r>
          </w:p>
        </w:tc>
      </w:tr>
      <w:tr w:rsidR="00825D4D" w:rsidRPr="0081375C" w14:paraId="426A40D3" w14:textId="77777777" w:rsidTr="006838DD">
        <w:trPr>
          <w:trHeight w:val="113"/>
        </w:trPr>
        <w:tc>
          <w:tcPr>
            <w:tcW w:w="1129" w:type="dxa"/>
            <w:tcBorders>
              <w:top w:val="single" w:sz="4" w:space="0" w:color="000000"/>
              <w:left w:val="single" w:sz="4" w:space="0" w:color="000000"/>
              <w:bottom w:val="single" w:sz="4" w:space="0" w:color="000000"/>
              <w:right w:val="single" w:sz="4" w:space="0" w:color="000000"/>
            </w:tcBorders>
            <w:vAlign w:val="center"/>
          </w:tcPr>
          <w:p w14:paraId="22ADAAC5"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lastRenderedPageBreak/>
              <w:t>5</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7D0F0B"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Porcentaje de cobertura boscosa por predio</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B72424"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Coberturas boscosas + catastro</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F23865"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Intersección y cálculo de área relativa</w:t>
            </w:r>
          </w:p>
        </w:tc>
      </w:tr>
      <w:tr w:rsidR="00825D4D" w:rsidRPr="0081375C" w14:paraId="0CFEE67A" w14:textId="77777777" w:rsidTr="006838DD">
        <w:trPr>
          <w:trHeight w:val="113"/>
        </w:trPr>
        <w:tc>
          <w:tcPr>
            <w:tcW w:w="1129" w:type="dxa"/>
            <w:tcBorders>
              <w:top w:val="single" w:sz="4" w:space="0" w:color="000000"/>
              <w:left w:val="single" w:sz="4" w:space="0" w:color="000000"/>
              <w:bottom w:val="single" w:sz="4" w:space="0" w:color="000000"/>
              <w:right w:val="single" w:sz="4" w:space="0" w:color="000000"/>
            </w:tcBorders>
            <w:vAlign w:val="center"/>
          </w:tcPr>
          <w:p w14:paraId="0145B918"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6</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DA8A69"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Uso de suelo dominante por predio</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FCBCEE"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Usos del suelo rural + catastro</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E8D34C"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Intersección; mayor porcentaje de área dentro del predio</w:t>
            </w:r>
          </w:p>
        </w:tc>
      </w:tr>
      <w:tr w:rsidR="00825D4D" w:rsidRPr="0081375C" w14:paraId="310CF5F2" w14:textId="77777777" w:rsidTr="006838DD">
        <w:trPr>
          <w:trHeight w:val="113"/>
        </w:trPr>
        <w:tc>
          <w:tcPr>
            <w:tcW w:w="1129" w:type="dxa"/>
            <w:tcBorders>
              <w:top w:val="single" w:sz="4" w:space="0" w:color="000000"/>
              <w:left w:val="single" w:sz="4" w:space="0" w:color="000000"/>
              <w:bottom w:val="single" w:sz="4" w:space="0" w:color="000000"/>
              <w:right w:val="single" w:sz="4" w:space="0" w:color="000000"/>
            </w:tcBorders>
            <w:vAlign w:val="center"/>
          </w:tcPr>
          <w:p w14:paraId="29DC7DF6"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7</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D8FD38"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Conteo de nacimientos por predio (D1)</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76FF52"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Nacimientos + catastro</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2DCC8D"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Conteo de puntos contenidos en cada polígono predial</w:t>
            </w:r>
          </w:p>
        </w:tc>
      </w:tr>
      <w:tr w:rsidR="00825D4D" w:rsidRPr="0081375C" w14:paraId="1FBA8A2C" w14:textId="77777777" w:rsidTr="006838DD">
        <w:trPr>
          <w:trHeight w:val="635"/>
        </w:trPr>
        <w:tc>
          <w:tcPr>
            <w:tcW w:w="1129" w:type="dxa"/>
            <w:tcBorders>
              <w:top w:val="single" w:sz="4" w:space="0" w:color="000000"/>
              <w:left w:val="single" w:sz="4" w:space="0" w:color="000000"/>
              <w:bottom w:val="single" w:sz="4" w:space="0" w:color="000000"/>
              <w:right w:val="single" w:sz="4" w:space="0" w:color="000000"/>
            </w:tcBorders>
            <w:vAlign w:val="center"/>
          </w:tcPr>
          <w:p w14:paraId="59440BA5" w14:textId="77777777" w:rsidR="00825D4D" w:rsidRPr="0081375C" w:rsidRDefault="00806784" w:rsidP="006838DD">
            <w:pPr>
              <w:jc w:val="center"/>
              <w:rPr>
                <w:rFonts w:ascii="Arial" w:eastAsia="Arial" w:hAnsi="Arial" w:cs="Arial"/>
                <w:color w:val="000000" w:themeColor="text1"/>
                <w:sz w:val="18"/>
                <w:szCs w:val="18"/>
              </w:rPr>
            </w:pPr>
            <w:r w:rsidRPr="0081375C">
              <w:rPr>
                <w:rFonts w:ascii="Arial" w:eastAsia="Arial" w:hAnsi="Arial" w:cs="Arial"/>
                <w:color w:val="000000" w:themeColor="text1"/>
                <w:sz w:val="18"/>
                <w:szCs w:val="18"/>
              </w:rPr>
              <w:t>8</w:t>
            </w:r>
          </w:p>
        </w:tc>
        <w:tc>
          <w:tcPr>
            <w:tcW w:w="22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7FA4C4"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Perímetro con coberturas intervenidas (D2)</w:t>
            </w:r>
          </w:p>
        </w:tc>
        <w:tc>
          <w:tcPr>
            <w:tcW w:w="19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E0B54B"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Coberturas predios adyacentes + catastro</w:t>
            </w:r>
          </w:p>
        </w:tc>
        <w:tc>
          <w:tcPr>
            <w:tcW w:w="324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97B9A9" w14:textId="77777777" w:rsidR="00825D4D" w:rsidRPr="0081375C" w:rsidRDefault="00806784" w:rsidP="006838DD">
            <w:pPr>
              <w:jc w:val="center"/>
              <w:rPr>
                <w:rFonts w:ascii="Arial" w:hAnsi="Arial" w:cs="Arial"/>
                <w:color w:val="000000" w:themeColor="text1"/>
                <w:sz w:val="18"/>
                <w:szCs w:val="18"/>
              </w:rPr>
            </w:pPr>
            <w:r w:rsidRPr="0081375C">
              <w:rPr>
                <w:rFonts w:ascii="Arial" w:eastAsia="Arial" w:hAnsi="Arial" w:cs="Arial"/>
                <w:color w:val="000000" w:themeColor="text1"/>
                <w:sz w:val="18"/>
                <w:szCs w:val="18"/>
              </w:rPr>
              <w:t>Metros lineales de perímetro que limitan con coberturas intervenidas, expresados como porcentaje del perímetro total</w:t>
            </w:r>
          </w:p>
        </w:tc>
      </w:tr>
    </w:tbl>
    <w:p w14:paraId="5253848A" w14:textId="77777777" w:rsidR="00825D4D" w:rsidRPr="0081375C" w:rsidRDefault="00825D4D" w:rsidP="003F6B53">
      <w:pPr>
        <w:spacing w:line="23" w:lineRule="atLeast"/>
        <w:jc w:val="both"/>
        <w:rPr>
          <w:rFonts w:ascii="Arial" w:eastAsia="Arial" w:hAnsi="Arial" w:cs="Arial"/>
          <w:color w:val="000000" w:themeColor="text1"/>
        </w:rPr>
      </w:pPr>
    </w:p>
    <w:p w14:paraId="36E702D9" w14:textId="685E4212"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Las dos últimas capas (D1 y D2) corresponden a los criterios de desempate y se calculan en la misma etapa que el resto. Una vez construidas, todas las capas deben validarse para asegurar la cobertura espacial completa; sin predios con valores faltantes. No se ejecuta la puntuación sobre capas incompletas.</w:t>
      </w:r>
    </w:p>
    <w:p w14:paraId="5178CFE8" w14:textId="77777777" w:rsidR="00CD651A" w:rsidRPr="0081375C" w:rsidRDefault="00CD651A" w:rsidP="003F6B53">
      <w:pPr>
        <w:spacing w:line="23" w:lineRule="atLeast"/>
        <w:jc w:val="both"/>
        <w:rPr>
          <w:rFonts w:ascii="Arial" w:eastAsia="Arial" w:hAnsi="Arial" w:cs="Arial"/>
          <w:color w:val="000000" w:themeColor="text1"/>
        </w:rPr>
      </w:pPr>
    </w:p>
    <w:p w14:paraId="5ABE43AF" w14:textId="41B66C76" w:rsidR="00825D4D" w:rsidRPr="0081375C" w:rsidRDefault="00825D4D" w:rsidP="009710C3">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Función de </w:t>
      </w:r>
      <w:r w:rsidR="00D34BD0" w:rsidRPr="0081375C">
        <w:rPr>
          <w:rFonts w:ascii="Arial" w:eastAsia="Aptos" w:hAnsi="Arial" w:cs="Arial"/>
          <w:b/>
          <w:bCs/>
          <w:color w:val="000000" w:themeColor="text1"/>
        </w:rPr>
        <w:t>P</w:t>
      </w:r>
      <w:r w:rsidRPr="0081375C">
        <w:rPr>
          <w:rFonts w:ascii="Arial" w:eastAsia="Aptos" w:hAnsi="Arial" w:cs="Arial"/>
          <w:b/>
          <w:bCs/>
          <w:color w:val="000000" w:themeColor="text1"/>
        </w:rPr>
        <w:t xml:space="preserve">untuación </w:t>
      </w:r>
      <w:r w:rsidR="00D34BD0" w:rsidRPr="0081375C">
        <w:rPr>
          <w:rFonts w:ascii="Arial" w:eastAsia="Aptos" w:hAnsi="Arial" w:cs="Arial"/>
          <w:b/>
          <w:bCs/>
          <w:color w:val="000000" w:themeColor="text1"/>
        </w:rPr>
        <w:t>M</w:t>
      </w:r>
      <w:r w:rsidRPr="0081375C">
        <w:rPr>
          <w:rFonts w:ascii="Arial" w:eastAsia="Aptos" w:hAnsi="Arial" w:cs="Arial"/>
          <w:b/>
          <w:bCs/>
          <w:color w:val="000000" w:themeColor="text1"/>
        </w:rPr>
        <w:t>odalidad PSAH</w:t>
      </w:r>
    </w:p>
    <w:p w14:paraId="295F42D4" w14:textId="77777777" w:rsidR="00CD651A" w:rsidRPr="0081375C" w:rsidRDefault="00CD651A" w:rsidP="003F6B53">
      <w:pPr>
        <w:spacing w:line="23" w:lineRule="atLeast"/>
        <w:jc w:val="both"/>
        <w:rPr>
          <w:rFonts w:ascii="Arial" w:eastAsia="Arial" w:hAnsi="Arial" w:cs="Arial"/>
          <w:b/>
          <w:bCs/>
          <w:color w:val="000000" w:themeColor="text1"/>
        </w:rPr>
      </w:pPr>
    </w:p>
    <w:p w14:paraId="7A2DC857" w14:textId="4A6B1327" w:rsidR="00825D4D" w:rsidRPr="0081375C" w:rsidRDefault="412840FF"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Para cada predio elegible se calcula el puntaje de ocho criterios listados en la</w:t>
      </w:r>
      <w:r w:rsidR="00DA2A9F" w:rsidRPr="0081375C">
        <w:rPr>
          <w:rFonts w:ascii="Arial" w:eastAsia="Arial" w:hAnsi="Arial" w:cs="Arial"/>
          <w:color w:val="000000" w:themeColor="text1"/>
        </w:rPr>
        <w:t xml:space="preserve"> </w:t>
      </w:r>
      <w:r w:rsidR="00D35BC3" w:rsidRPr="0081375C">
        <w:rPr>
          <w:rFonts w:ascii="Arial" w:hAnsi="Arial" w:cs="Arial"/>
          <w:color w:val="000000" w:themeColor="text1"/>
        </w:rPr>
        <w:t>siguiente tabla</w:t>
      </w:r>
      <w:r w:rsidRPr="0081375C">
        <w:rPr>
          <w:rFonts w:ascii="Arial" w:eastAsia="Arial" w:hAnsi="Arial" w:cs="Arial"/>
          <w:color w:val="000000" w:themeColor="text1"/>
        </w:rPr>
        <w:t xml:space="preserve">. El puntaje total es la sumatoria de los ocho criterios y determina la categoría de priorización del predio. </w:t>
      </w:r>
      <w:r w:rsidR="48BC8147" w:rsidRPr="0081375C">
        <w:rPr>
          <w:rFonts w:ascii="Arial" w:eastAsia="Arial" w:hAnsi="Arial" w:cs="Arial"/>
          <w:color w:val="000000" w:themeColor="text1"/>
        </w:rPr>
        <w:t>N</w:t>
      </w:r>
      <w:r w:rsidRPr="0081375C">
        <w:rPr>
          <w:rFonts w:ascii="Arial" w:eastAsia="Arial" w:hAnsi="Arial" w:cs="Arial"/>
          <w:color w:val="000000" w:themeColor="text1"/>
        </w:rPr>
        <w:t>ingún criterio puede tener peso inferior al 5% ni superior al 15%. Cualquier modificación a los pesos requiere sustentación técnica previa y aprobación institucional antes de aplicarse.</w:t>
      </w:r>
    </w:p>
    <w:p w14:paraId="28CD1770" w14:textId="5D82FF46" w:rsidR="7670D8C4" w:rsidRPr="0081375C" w:rsidRDefault="7670D8C4" w:rsidP="7670D8C4">
      <w:pPr>
        <w:spacing w:line="23" w:lineRule="atLeast"/>
        <w:jc w:val="both"/>
        <w:rPr>
          <w:rFonts w:ascii="Arial" w:eastAsia="Arial" w:hAnsi="Arial" w:cs="Arial"/>
          <w:color w:val="000000" w:themeColor="text1"/>
        </w:rPr>
      </w:pPr>
    </w:p>
    <w:p w14:paraId="496B9E67" w14:textId="237A2EA7" w:rsidR="00825D4D" w:rsidRPr="0081375C" w:rsidRDefault="00806784" w:rsidP="003F6B53">
      <w:pPr>
        <w:spacing w:line="23" w:lineRule="atLeast"/>
        <w:jc w:val="both"/>
        <w:rPr>
          <w:rFonts w:ascii="Arial" w:hAnsi="Arial" w:cs="Arial"/>
          <w:b/>
          <w:bCs/>
          <w:color w:val="000000" w:themeColor="text1"/>
          <w:sz w:val="20"/>
          <w:szCs w:val="20"/>
        </w:rPr>
      </w:pPr>
      <w:bookmarkStart w:id="45" w:name="_Ref231364953"/>
      <w:bookmarkStart w:id="46" w:name="_Toc233040663"/>
      <w:r w:rsidRPr="0081375C">
        <w:rPr>
          <w:rFonts w:ascii="Arial" w:eastAsia="Aptos" w:hAnsi="Arial" w:cs="Arial"/>
          <w:b/>
          <w:bCs/>
          <w:color w:val="000000" w:themeColor="text1"/>
        </w:rPr>
        <w:t xml:space="preserve">Tabla </w:t>
      </w:r>
      <w:r w:rsidRPr="0081375C">
        <w:rPr>
          <w:rFonts w:ascii="Arial" w:eastAsia="Aptos" w:hAnsi="Arial" w:cs="Arial"/>
          <w:b/>
          <w:bCs/>
          <w:color w:val="000000" w:themeColor="text1"/>
        </w:rPr>
        <w:fldChar w:fldCharType="begin"/>
      </w:r>
      <w:r w:rsidRPr="0081375C">
        <w:rPr>
          <w:rFonts w:ascii="Arial" w:eastAsia="Aptos" w:hAnsi="Arial" w:cs="Arial"/>
          <w:b/>
          <w:bCs/>
          <w:color w:val="000000" w:themeColor="text1"/>
        </w:rPr>
        <w:instrText xml:space="preserve"> SEQ Tabla \* ARABIC </w:instrText>
      </w:r>
      <w:r w:rsidRPr="0081375C">
        <w:rPr>
          <w:rFonts w:ascii="Arial" w:eastAsia="Aptos" w:hAnsi="Arial" w:cs="Arial"/>
          <w:b/>
          <w:bCs/>
          <w:color w:val="000000" w:themeColor="text1"/>
        </w:rPr>
        <w:fldChar w:fldCharType="separate"/>
      </w:r>
      <w:r w:rsidR="00921CE3" w:rsidRPr="0081375C">
        <w:rPr>
          <w:rFonts w:ascii="Arial" w:eastAsia="Aptos" w:hAnsi="Arial" w:cs="Arial"/>
          <w:b/>
          <w:bCs/>
          <w:noProof/>
          <w:color w:val="000000" w:themeColor="text1"/>
        </w:rPr>
        <w:t>18</w:t>
      </w:r>
      <w:r w:rsidRPr="0081375C">
        <w:rPr>
          <w:rFonts w:ascii="Arial" w:eastAsia="Aptos" w:hAnsi="Arial" w:cs="Arial"/>
          <w:b/>
          <w:bCs/>
          <w:color w:val="000000" w:themeColor="text1"/>
        </w:rPr>
        <w:fldChar w:fldCharType="end"/>
      </w:r>
      <w:r w:rsidRPr="0081375C">
        <w:rPr>
          <w:rFonts w:ascii="Arial" w:eastAsia="Aptos" w:hAnsi="Arial" w:cs="Arial"/>
          <w:b/>
          <w:bCs/>
          <w:color w:val="000000" w:themeColor="text1"/>
        </w:rPr>
        <w:t>. Resumen de criterios de selección PSAH</w:t>
      </w:r>
      <w:bookmarkEnd w:id="45"/>
      <w:bookmarkEnd w:id="46"/>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2405"/>
        <w:gridCol w:w="849"/>
        <w:gridCol w:w="5382"/>
      </w:tblGrid>
      <w:tr w:rsidR="00825D4D" w:rsidRPr="0081375C" w14:paraId="3A70DD20" w14:textId="77777777" w:rsidTr="003E3629">
        <w:trPr>
          <w:trHeight w:val="20"/>
          <w:tblHeader/>
        </w:trPr>
        <w:tc>
          <w:tcPr>
            <w:tcW w:w="2405" w:type="dxa"/>
            <w:tcBorders>
              <w:top w:val="single" w:sz="4" w:space="0" w:color="000000"/>
              <w:left w:val="single" w:sz="4" w:space="0" w:color="000000"/>
              <w:bottom w:val="single" w:sz="4" w:space="0" w:color="000000"/>
              <w:right w:val="single" w:sz="4" w:space="0" w:color="000000"/>
            </w:tcBorders>
            <w:vAlign w:val="center"/>
          </w:tcPr>
          <w:p w14:paraId="40A8A55E"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Criterio</w:t>
            </w:r>
          </w:p>
        </w:tc>
        <w:tc>
          <w:tcPr>
            <w:tcW w:w="849" w:type="dxa"/>
            <w:tcBorders>
              <w:top w:val="single" w:sz="4" w:space="0" w:color="000000"/>
              <w:left w:val="single" w:sz="4" w:space="0" w:color="000000"/>
              <w:bottom w:val="single" w:sz="4" w:space="0" w:color="000000"/>
              <w:right w:val="single" w:sz="4" w:space="0" w:color="000000"/>
            </w:tcBorders>
            <w:vAlign w:val="center"/>
          </w:tcPr>
          <w:p w14:paraId="20DCD9B9"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Peso</w:t>
            </w:r>
          </w:p>
        </w:tc>
        <w:tc>
          <w:tcPr>
            <w:tcW w:w="5382" w:type="dxa"/>
            <w:tcBorders>
              <w:top w:val="single" w:sz="4" w:space="0" w:color="000000"/>
              <w:left w:val="single" w:sz="4" w:space="0" w:color="000000"/>
              <w:bottom w:val="single" w:sz="4" w:space="0" w:color="000000"/>
              <w:right w:val="single" w:sz="4" w:space="0" w:color="000000"/>
            </w:tcBorders>
            <w:vAlign w:val="center"/>
          </w:tcPr>
          <w:p w14:paraId="53994820"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Variables y puntajes</w:t>
            </w:r>
          </w:p>
        </w:tc>
      </w:tr>
      <w:tr w:rsidR="00825D4D" w:rsidRPr="0081375C" w14:paraId="34C6C1F9"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16DFE4E0"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C1: Población abastecida por acueductos</w:t>
            </w:r>
          </w:p>
        </w:tc>
        <w:tc>
          <w:tcPr>
            <w:tcW w:w="849" w:type="dxa"/>
            <w:tcBorders>
              <w:top w:val="single" w:sz="4" w:space="0" w:color="000000"/>
              <w:left w:val="single" w:sz="4" w:space="0" w:color="000000"/>
              <w:bottom w:val="single" w:sz="4" w:space="0" w:color="000000"/>
              <w:right w:val="single" w:sz="4" w:space="0" w:color="000000"/>
            </w:tcBorders>
            <w:vAlign w:val="center"/>
          </w:tcPr>
          <w:p w14:paraId="265C2D75"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10%</w:t>
            </w:r>
          </w:p>
        </w:tc>
        <w:tc>
          <w:tcPr>
            <w:tcW w:w="5382" w:type="dxa"/>
            <w:tcBorders>
              <w:top w:val="single" w:sz="4" w:space="0" w:color="000000"/>
              <w:left w:val="single" w:sz="4" w:space="0" w:color="000000"/>
              <w:bottom w:val="single" w:sz="4" w:space="0" w:color="000000"/>
              <w:right w:val="single" w:sz="4" w:space="0" w:color="000000"/>
            </w:tcBorders>
            <w:vAlign w:val="center"/>
          </w:tcPr>
          <w:p w14:paraId="3948B14E"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0-500 suscriptores: 4% / 501-1.000: 6% / 1.001-5.000: 8% / &gt;5.000: 10%</w:t>
            </w:r>
          </w:p>
        </w:tc>
      </w:tr>
      <w:tr w:rsidR="00825D4D" w:rsidRPr="0081375C" w14:paraId="178F0003"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480C2F9E"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C2: Presencia de corrientes hídricas, manantiales y humedales</w:t>
            </w:r>
          </w:p>
        </w:tc>
        <w:tc>
          <w:tcPr>
            <w:tcW w:w="849" w:type="dxa"/>
            <w:tcBorders>
              <w:top w:val="single" w:sz="4" w:space="0" w:color="000000"/>
              <w:left w:val="single" w:sz="4" w:space="0" w:color="000000"/>
              <w:bottom w:val="single" w:sz="4" w:space="0" w:color="000000"/>
              <w:right w:val="single" w:sz="4" w:space="0" w:color="000000"/>
            </w:tcBorders>
            <w:vAlign w:val="center"/>
          </w:tcPr>
          <w:p w14:paraId="168BA927"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15%</w:t>
            </w:r>
          </w:p>
        </w:tc>
        <w:tc>
          <w:tcPr>
            <w:tcW w:w="5382" w:type="dxa"/>
            <w:tcBorders>
              <w:top w:val="single" w:sz="4" w:space="0" w:color="000000"/>
              <w:left w:val="single" w:sz="4" w:space="0" w:color="000000"/>
              <w:bottom w:val="single" w:sz="4" w:space="0" w:color="000000"/>
              <w:right w:val="single" w:sz="4" w:space="0" w:color="000000"/>
            </w:tcBorders>
            <w:vAlign w:val="center"/>
          </w:tcPr>
          <w:p w14:paraId="06E4EE1A"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Fuente hídrica: 5% / Nacimientos: 5% / Humedales: 5% (acumulable)</w:t>
            </w:r>
          </w:p>
        </w:tc>
      </w:tr>
      <w:tr w:rsidR="00825D4D" w:rsidRPr="0081375C" w14:paraId="37990704"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64003F24"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C3: Importancia en recarga de acuíferos</w:t>
            </w:r>
          </w:p>
        </w:tc>
        <w:tc>
          <w:tcPr>
            <w:tcW w:w="849" w:type="dxa"/>
            <w:tcBorders>
              <w:top w:val="single" w:sz="4" w:space="0" w:color="000000"/>
              <w:left w:val="single" w:sz="4" w:space="0" w:color="000000"/>
              <w:bottom w:val="single" w:sz="4" w:space="0" w:color="000000"/>
              <w:right w:val="single" w:sz="4" w:space="0" w:color="000000"/>
            </w:tcBorders>
            <w:vAlign w:val="center"/>
          </w:tcPr>
          <w:p w14:paraId="78832FED"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10%</w:t>
            </w:r>
          </w:p>
        </w:tc>
        <w:tc>
          <w:tcPr>
            <w:tcW w:w="5382" w:type="dxa"/>
            <w:tcBorders>
              <w:top w:val="single" w:sz="4" w:space="0" w:color="000000"/>
              <w:left w:val="single" w:sz="4" w:space="0" w:color="000000"/>
              <w:bottom w:val="single" w:sz="4" w:space="0" w:color="000000"/>
              <w:right w:val="single" w:sz="4" w:space="0" w:color="000000"/>
            </w:tcBorders>
            <w:vAlign w:val="center"/>
          </w:tcPr>
          <w:p w14:paraId="5BD28DDC"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Sin recarga: 2% / Baja: 4% / Media: 6% / Alta: 8% / Directa: 10%</w:t>
            </w:r>
          </w:p>
        </w:tc>
      </w:tr>
      <w:tr w:rsidR="00825D4D" w:rsidRPr="0081375C" w14:paraId="4E107C72"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04AEF2FB"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C4: Proporción de coberturas naturales</w:t>
            </w:r>
          </w:p>
        </w:tc>
        <w:tc>
          <w:tcPr>
            <w:tcW w:w="849" w:type="dxa"/>
            <w:tcBorders>
              <w:top w:val="single" w:sz="4" w:space="0" w:color="000000"/>
              <w:left w:val="single" w:sz="4" w:space="0" w:color="000000"/>
              <w:bottom w:val="single" w:sz="4" w:space="0" w:color="000000"/>
              <w:right w:val="single" w:sz="4" w:space="0" w:color="000000"/>
            </w:tcBorders>
            <w:vAlign w:val="center"/>
          </w:tcPr>
          <w:p w14:paraId="46AC4872"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10%</w:t>
            </w:r>
          </w:p>
        </w:tc>
        <w:tc>
          <w:tcPr>
            <w:tcW w:w="5382" w:type="dxa"/>
            <w:tcBorders>
              <w:top w:val="single" w:sz="4" w:space="0" w:color="000000"/>
              <w:left w:val="single" w:sz="4" w:space="0" w:color="000000"/>
              <w:bottom w:val="single" w:sz="4" w:space="0" w:color="000000"/>
              <w:right w:val="single" w:sz="4" w:space="0" w:color="000000"/>
            </w:tcBorders>
            <w:vAlign w:val="center"/>
          </w:tcPr>
          <w:p w14:paraId="5A641F45"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0-20%: 2% / 20-40%: 4% / 40-60%: 6% / 60-80%: 8% / 80-100%: 10%</w:t>
            </w:r>
          </w:p>
        </w:tc>
      </w:tr>
      <w:tr w:rsidR="00825D4D" w:rsidRPr="0081375C" w14:paraId="1F052F2C"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69830E35"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lastRenderedPageBreak/>
              <w:t>C5: Grado de amenaza por presión antrópica</w:t>
            </w:r>
          </w:p>
        </w:tc>
        <w:tc>
          <w:tcPr>
            <w:tcW w:w="849" w:type="dxa"/>
            <w:tcBorders>
              <w:top w:val="single" w:sz="4" w:space="0" w:color="000000"/>
              <w:left w:val="single" w:sz="4" w:space="0" w:color="000000"/>
              <w:bottom w:val="single" w:sz="4" w:space="0" w:color="000000"/>
              <w:right w:val="single" w:sz="4" w:space="0" w:color="000000"/>
            </w:tcBorders>
            <w:vAlign w:val="center"/>
          </w:tcPr>
          <w:p w14:paraId="63C4FD90"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15%</w:t>
            </w:r>
          </w:p>
        </w:tc>
        <w:tc>
          <w:tcPr>
            <w:tcW w:w="5382" w:type="dxa"/>
            <w:tcBorders>
              <w:top w:val="single" w:sz="4" w:space="0" w:color="000000"/>
              <w:left w:val="single" w:sz="4" w:space="0" w:color="000000"/>
              <w:bottom w:val="single" w:sz="4" w:space="0" w:color="000000"/>
              <w:right w:val="single" w:sz="4" w:space="0" w:color="000000"/>
            </w:tcBorders>
            <w:vAlign w:val="center"/>
          </w:tcPr>
          <w:p w14:paraId="17407640"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Forestal protector: 1,88% / Forestal productor: 3,75% / Agroforestal: 5,63% / Agropecuario: 7,50% / Agrícola: 9,38% / Minería en transición: 11,25% / Mixto Urbano Rural: 15% / Servicios e Industria: 15%</w:t>
            </w:r>
          </w:p>
        </w:tc>
      </w:tr>
      <w:tr w:rsidR="00825D4D" w:rsidRPr="0081375C" w14:paraId="2535BE49"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24EF6E1F"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C6: Fragilidad de ecosistemas naturales</w:t>
            </w:r>
          </w:p>
        </w:tc>
        <w:tc>
          <w:tcPr>
            <w:tcW w:w="849" w:type="dxa"/>
            <w:tcBorders>
              <w:top w:val="single" w:sz="4" w:space="0" w:color="000000"/>
              <w:left w:val="single" w:sz="4" w:space="0" w:color="000000"/>
              <w:bottom w:val="single" w:sz="4" w:space="0" w:color="000000"/>
              <w:right w:val="single" w:sz="4" w:space="0" w:color="000000"/>
            </w:tcBorders>
            <w:vAlign w:val="center"/>
          </w:tcPr>
          <w:p w14:paraId="10606B83"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15%</w:t>
            </w:r>
          </w:p>
        </w:tc>
        <w:tc>
          <w:tcPr>
            <w:tcW w:w="5382" w:type="dxa"/>
            <w:tcBorders>
              <w:top w:val="single" w:sz="4" w:space="0" w:color="000000"/>
              <w:left w:val="single" w:sz="4" w:space="0" w:color="000000"/>
              <w:bottom w:val="single" w:sz="4" w:space="0" w:color="000000"/>
              <w:right w:val="single" w:sz="4" w:space="0" w:color="000000"/>
            </w:tcBorders>
            <w:vAlign w:val="center"/>
          </w:tcPr>
          <w:p w14:paraId="5E0948AB"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Humedales: 5% / Ojos de sal: 5% / Cuencas de orden cero: 5% (acumulable)</w:t>
            </w:r>
          </w:p>
        </w:tc>
      </w:tr>
      <w:tr w:rsidR="00825D4D" w:rsidRPr="0081375C" w14:paraId="28858404"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19D1BB28"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C7: Conectividad ecosistémica</w:t>
            </w:r>
          </w:p>
        </w:tc>
        <w:tc>
          <w:tcPr>
            <w:tcW w:w="849" w:type="dxa"/>
            <w:tcBorders>
              <w:top w:val="single" w:sz="4" w:space="0" w:color="000000"/>
              <w:left w:val="single" w:sz="4" w:space="0" w:color="000000"/>
              <w:bottom w:val="single" w:sz="4" w:space="0" w:color="000000"/>
              <w:right w:val="single" w:sz="4" w:space="0" w:color="000000"/>
            </w:tcBorders>
            <w:vAlign w:val="center"/>
          </w:tcPr>
          <w:p w14:paraId="1E05AFB2"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15%</w:t>
            </w:r>
          </w:p>
        </w:tc>
        <w:tc>
          <w:tcPr>
            <w:tcW w:w="5382" w:type="dxa"/>
            <w:tcBorders>
              <w:top w:val="single" w:sz="4" w:space="0" w:color="000000"/>
              <w:left w:val="single" w:sz="4" w:space="0" w:color="000000"/>
              <w:bottom w:val="single" w:sz="4" w:space="0" w:color="000000"/>
              <w:right w:val="single" w:sz="4" w:space="0" w:color="000000"/>
            </w:tcBorders>
            <w:vAlign w:val="center"/>
          </w:tcPr>
          <w:p w14:paraId="5B32020D"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Red ecológica estructurante: 7,5% / Reserva de la Sociedad Civil: 7,5% (acumulable)</w:t>
            </w:r>
          </w:p>
        </w:tc>
      </w:tr>
      <w:tr w:rsidR="00825D4D" w:rsidRPr="0081375C" w14:paraId="271E7FB7" w14:textId="77777777" w:rsidTr="003E3629">
        <w:trPr>
          <w:trHeight w:val="20"/>
        </w:trPr>
        <w:tc>
          <w:tcPr>
            <w:tcW w:w="2405" w:type="dxa"/>
            <w:tcBorders>
              <w:top w:val="single" w:sz="4" w:space="0" w:color="000000"/>
              <w:left w:val="single" w:sz="4" w:space="0" w:color="000000"/>
              <w:bottom w:val="single" w:sz="4" w:space="0" w:color="000000"/>
              <w:right w:val="single" w:sz="4" w:space="0" w:color="000000"/>
            </w:tcBorders>
            <w:vAlign w:val="center"/>
          </w:tcPr>
          <w:p w14:paraId="25265862"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C8: Incidencia en calidad del agua de acueductos</w:t>
            </w:r>
          </w:p>
        </w:tc>
        <w:tc>
          <w:tcPr>
            <w:tcW w:w="849" w:type="dxa"/>
            <w:tcBorders>
              <w:top w:val="single" w:sz="4" w:space="0" w:color="000000"/>
              <w:left w:val="single" w:sz="4" w:space="0" w:color="000000"/>
              <w:bottom w:val="single" w:sz="4" w:space="0" w:color="000000"/>
              <w:right w:val="single" w:sz="4" w:space="0" w:color="000000"/>
            </w:tcBorders>
            <w:vAlign w:val="center"/>
          </w:tcPr>
          <w:p w14:paraId="4B1973A7"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10%</w:t>
            </w:r>
          </w:p>
        </w:tc>
        <w:tc>
          <w:tcPr>
            <w:tcW w:w="5382" w:type="dxa"/>
            <w:tcBorders>
              <w:top w:val="single" w:sz="4" w:space="0" w:color="000000"/>
              <w:left w:val="single" w:sz="4" w:space="0" w:color="000000"/>
              <w:bottom w:val="single" w:sz="4" w:space="0" w:color="000000"/>
              <w:right w:val="single" w:sz="4" w:space="0" w:color="000000"/>
            </w:tcBorders>
            <w:vAlign w:val="center"/>
          </w:tcPr>
          <w:p w14:paraId="2A76B585" w14:textId="77777777" w:rsidR="00825D4D" w:rsidRPr="0081375C" w:rsidRDefault="00806784" w:rsidP="003E362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Nacimientos: 5% / Bocatomas: 5% (acumulable)</w:t>
            </w:r>
          </w:p>
        </w:tc>
      </w:tr>
    </w:tbl>
    <w:p w14:paraId="04173FEF" w14:textId="77777777" w:rsidR="00CD651A" w:rsidRPr="0081375C" w:rsidRDefault="00CD651A" w:rsidP="00CD651A">
      <w:pPr>
        <w:spacing w:line="23" w:lineRule="atLeast"/>
        <w:jc w:val="both"/>
        <w:rPr>
          <w:rFonts w:ascii="Arial" w:eastAsia="Arial" w:hAnsi="Arial" w:cs="Arial"/>
          <w:b/>
          <w:bCs/>
          <w:i/>
          <w:iCs/>
          <w:color w:val="000000" w:themeColor="text1"/>
        </w:rPr>
      </w:pPr>
    </w:p>
    <w:p w14:paraId="4155AFD5" w14:textId="6B8262DA" w:rsidR="00825D4D" w:rsidRPr="0081375C" w:rsidRDefault="412840FF" w:rsidP="7670D8C4">
      <w:pPr>
        <w:pStyle w:val="Prrafodelista"/>
        <w:numPr>
          <w:ilvl w:val="0"/>
          <w:numId w:val="3"/>
        </w:numPr>
        <w:spacing w:line="23" w:lineRule="atLeast"/>
        <w:contextualSpacing w:val="0"/>
        <w:jc w:val="both"/>
        <w:rPr>
          <w:rFonts w:ascii="Arial" w:eastAsia="Arial" w:hAnsi="Arial" w:cs="Arial"/>
          <w:b/>
          <w:bCs/>
          <w:i/>
          <w:iCs/>
          <w:color w:val="000000" w:themeColor="text1"/>
        </w:rPr>
      </w:pPr>
      <w:r w:rsidRPr="0081375C">
        <w:rPr>
          <w:rFonts w:ascii="Arial" w:eastAsia="Arial" w:hAnsi="Arial" w:cs="Arial"/>
          <w:b/>
          <w:bCs/>
          <w:color w:val="000000" w:themeColor="text1"/>
        </w:rPr>
        <w:t>Criterio 1: Población Abastecida por los Acueductos Beneficiados con la Conservación del Área Estratégica en el predio:</w:t>
      </w:r>
    </w:p>
    <w:p w14:paraId="2131F197" w14:textId="77777777" w:rsidR="00CD651A" w:rsidRPr="0081375C" w:rsidRDefault="00CD651A" w:rsidP="00CD651A">
      <w:pPr>
        <w:pStyle w:val="Prrafodelista"/>
        <w:spacing w:line="23" w:lineRule="atLeast"/>
        <w:contextualSpacing w:val="0"/>
        <w:jc w:val="both"/>
        <w:rPr>
          <w:rFonts w:ascii="Arial" w:eastAsia="Arial" w:hAnsi="Arial" w:cs="Arial"/>
          <w:b/>
          <w:bCs/>
          <w:i/>
          <w:iCs/>
          <w:color w:val="000000" w:themeColor="text1"/>
        </w:rPr>
      </w:pPr>
    </w:p>
    <w:p w14:paraId="0F476004" w14:textId="1828BDC4"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Este criterio busca introducir en el análisis el número de usuarios que abastece cada una de las cuencas abastecedoras del acueducto del ecosistema estratégico, generando un nivel de importancia diferenciado según el número de suscriptores de cada acueducto.</w:t>
      </w:r>
    </w:p>
    <w:p w14:paraId="7722222A" w14:textId="77777777" w:rsidR="00CD651A" w:rsidRPr="0081375C" w:rsidRDefault="00CD651A" w:rsidP="003F6B53">
      <w:pPr>
        <w:spacing w:line="23" w:lineRule="atLeast"/>
        <w:jc w:val="both"/>
        <w:rPr>
          <w:rFonts w:ascii="Arial" w:eastAsia="Arial" w:hAnsi="Arial" w:cs="Arial"/>
          <w:color w:val="000000" w:themeColor="text1"/>
        </w:rPr>
      </w:pPr>
    </w:p>
    <w:p w14:paraId="62695ACA" w14:textId="568CDE52"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Como fuente de información para este criterio, se obtiene la información disponible tanto del Distrito (Servicios Públicos) como de los diferentes prestadores de servicio (Empresas Públicas de Medellín (EPM – Acueductos veredales). Para cumplir el anterior criterio, en el Distrito Especial de Ciencia Tecnología e Innovación de Medellín se analizan los predios de importancia estratégica para el abastecimiento de acueductos. A este criterio se le asigna un peso desde 4% hasta un máximo del 10%, teniendo en cuenta que el número de suscriptores conocido en la actualidad según la información oficial del distrito es de mínimo 100 suscriptores y máximo de 14.000. </w:t>
      </w:r>
    </w:p>
    <w:p w14:paraId="4A92E885" w14:textId="77777777" w:rsidR="00CD651A" w:rsidRPr="0081375C" w:rsidRDefault="00CD651A" w:rsidP="003F6B53">
      <w:pPr>
        <w:spacing w:line="23" w:lineRule="atLeast"/>
        <w:jc w:val="both"/>
        <w:rPr>
          <w:rFonts w:ascii="Arial" w:eastAsia="Arial" w:hAnsi="Arial" w:cs="Arial"/>
          <w:color w:val="000000" w:themeColor="text1"/>
        </w:rPr>
      </w:pPr>
    </w:p>
    <w:p w14:paraId="5B7970F5" w14:textId="2E50CCDD" w:rsidR="00825D4D" w:rsidRPr="0081375C" w:rsidRDefault="00806784" w:rsidP="003F6B53">
      <w:pPr>
        <w:pStyle w:val="Prrafodelista"/>
        <w:numPr>
          <w:ilvl w:val="0"/>
          <w:numId w:val="3"/>
        </w:numPr>
        <w:spacing w:line="23" w:lineRule="atLeast"/>
        <w:contextualSpacing w:val="0"/>
        <w:jc w:val="both"/>
        <w:rPr>
          <w:rFonts w:ascii="Arial" w:eastAsia="Arial" w:hAnsi="Arial" w:cs="Arial"/>
          <w:b/>
          <w:color w:val="000000" w:themeColor="text1"/>
        </w:rPr>
      </w:pPr>
      <w:r w:rsidRPr="0081375C">
        <w:rPr>
          <w:rFonts w:ascii="Arial" w:eastAsia="Arial" w:hAnsi="Arial" w:cs="Arial"/>
          <w:b/>
          <w:bCs/>
          <w:color w:val="000000" w:themeColor="text1"/>
        </w:rPr>
        <w:t>Criterio 2: Presencia en el Predio de Corrientes Hídricas, Manantiales, Afloramientos y Humedales:</w:t>
      </w:r>
    </w:p>
    <w:p w14:paraId="3D5AF69E" w14:textId="77777777" w:rsidR="00E93B7A" w:rsidRPr="0081375C" w:rsidRDefault="00E93B7A" w:rsidP="00083D00">
      <w:pPr>
        <w:spacing w:line="23" w:lineRule="atLeast"/>
        <w:jc w:val="both"/>
        <w:rPr>
          <w:rFonts w:ascii="Arial" w:eastAsia="Arial" w:hAnsi="Arial" w:cs="Arial"/>
          <w:b/>
          <w:color w:val="000000" w:themeColor="text1"/>
        </w:rPr>
      </w:pPr>
    </w:p>
    <w:p w14:paraId="642CA966"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Este criterio busca identificar qué tan representativa es la ubicación de cada uno de los predios que se encuentran dentro del ecosistema estratégico en relación con el sistema hidrográfico. Por lo tanto, se busca calificar cada predio en función de las tipologías de elementos del sistema que posea en su interior.</w:t>
      </w:r>
    </w:p>
    <w:p w14:paraId="3F0422A3" w14:textId="77777777" w:rsidR="00E93B7A" w:rsidRPr="0081375C" w:rsidRDefault="00E93B7A" w:rsidP="003F6B53">
      <w:pPr>
        <w:spacing w:line="23" w:lineRule="atLeast"/>
        <w:jc w:val="both"/>
        <w:rPr>
          <w:rFonts w:ascii="Arial" w:eastAsia="Arial" w:hAnsi="Arial" w:cs="Arial"/>
          <w:color w:val="000000" w:themeColor="text1"/>
        </w:rPr>
      </w:pPr>
    </w:p>
    <w:p w14:paraId="588B4AE3"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Para el análisis del criterio 2 se verifican la red hídrica, nacimientos y/o humedales. La evaluación del criterio tiene en cuenta solo la presencia de fuentes hídricas y no la cantidad de estas dentro del predio. </w:t>
      </w:r>
    </w:p>
    <w:p w14:paraId="65F80232" w14:textId="77777777" w:rsidR="00E93B7A" w:rsidRPr="0081375C" w:rsidRDefault="00E93B7A" w:rsidP="003F6B53">
      <w:pPr>
        <w:spacing w:line="23" w:lineRule="atLeast"/>
        <w:jc w:val="both"/>
        <w:rPr>
          <w:rFonts w:ascii="Arial" w:eastAsia="Arial" w:hAnsi="Arial" w:cs="Arial"/>
          <w:color w:val="000000" w:themeColor="text1"/>
        </w:rPr>
      </w:pPr>
    </w:p>
    <w:p w14:paraId="5573F51E" w14:textId="77777777" w:rsidR="00E93B7A" w:rsidRPr="0081375C" w:rsidRDefault="00E93B7A" w:rsidP="00E93B7A">
      <w:pPr>
        <w:pStyle w:val="Prrafodelista"/>
        <w:spacing w:line="23" w:lineRule="atLeast"/>
        <w:contextualSpacing w:val="0"/>
        <w:jc w:val="both"/>
        <w:rPr>
          <w:rFonts w:ascii="Arial" w:eastAsia="Arial" w:hAnsi="Arial" w:cs="Arial"/>
          <w:color w:val="000000" w:themeColor="text1"/>
        </w:rPr>
      </w:pPr>
      <w:bookmarkStart w:id="47" w:name="_Toc232134770"/>
    </w:p>
    <w:p w14:paraId="603373E5" w14:textId="21EB2840" w:rsidR="00825D4D" w:rsidRPr="0081375C" w:rsidRDefault="00806784" w:rsidP="003F6B53">
      <w:pPr>
        <w:pStyle w:val="Prrafodelista"/>
        <w:numPr>
          <w:ilvl w:val="0"/>
          <w:numId w:val="3"/>
        </w:numPr>
        <w:spacing w:line="23" w:lineRule="atLeast"/>
        <w:contextualSpacing w:val="0"/>
        <w:jc w:val="both"/>
        <w:rPr>
          <w:rFonts w:ascii="Arial" w:eastAsia="Arial" w:hAnsi="Arial" w:cs="Arial"/>
          <w:color w:val="000000" w:themeColor="text1"/>
        </w:rPr>
      </w:pPr>
      <w:r w:rsidRPr="0081375C">
        <w:rPr>
          <w:rFonts w:ascii="Arial" w:eastAsia="Arial" w:hAnsi="Arial" w:cs="Arial"/>
          <w:b/>
          <w:color w:val="000000" w:themeColor="text1"/>
        </w:rPr>
        <w:t>Criterio 3. Importancia del Predio en la Recarga de Acuíferos o Suministro Hídrico</w:t>
      </w:r>
      <w:r w:rsidRPr="0081375C">
        <w:rPr>
          <w:rFonts w:ascii="Arial" w:eastAsia="Arial" w:hAnsi="Arial" w:cs="Arial"/>
          <w:b/>
          <w:bCs/>
          <w:color w:val="000000" w:themeColor="text1"/>
        </w:rPr>
        <w:t>:</w:t>
      </w:r>
      <w:bookmarkEnd w:id="47"/>
    </w:p>
    <w:p w14:paraId="30F1F062" w14:textId="77777777" w:rsidR="00825D4D" w:rsidRPr="0081375C" w:rsidRDefault="00825D4D" w:rsidP="003F6B53">
      <w:pPr>
        <w:spacing w:line="23" w:lineRule="atLeast"/>
        <w:jc w:val="both"/>
        <w:rPr>
          <w:rFonts w:ascii="Arial" w:hAnsi="Arial" w:cs="Arial"/>
          <w:color w:val="000000" w:themeColor="text1"/>
        </w:rPr>
      </w:pPr>
    </w:p>
    <w:p w14:paraId="4C9FB16C"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Las zonas de recarga de acuíferos son la parte de la cuenca hidrográfica donde, por las condiciones climatológicas, geológicas (suelos permeables) y topográficas, gran parte de las precipitaciones se infiltran en el subsuelo, recargando los acuíferos en la parte más baja de la cuenca (“Formulación del plan de manejo ambiental de acuífero del Valle de Aburrá (2018)”. </w:t>
      </w:r>
    </w:p>
    <w:p w14:paraId="035E2EBB" w14:textId="77777777" w:rsidR="00E93B7A" w:rsidRPr="0081375C" w:rsidRDefault="00E93B7A" w:rsidP="003F6B53">
      <w:pPr>
        <w:spacing w:line="23" w:lineRule="atLeast"/>
        <w:jc w:val="both"/>
        <w:rPr>
          <w:rFonts w:ascii="Arial" w:eastAsia="Arial" w:hAnsi="Arial" w:cs="Arial"/>
          <w:color w:val="000000" w:themeColor="text1"/>
        </w:rPr>
      </w:pPr>
    </w:p>
    <w:p w14:paraId="6406514B"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Este criterio busca categorizar cada uno de los predios que se encuentran dentro del ecosistema estratégico, en función del grado de recarga que presente en la mayor parte de su extensión, categorizando las zonas de recarga directa como las más importantes y las zonas de recarga indirecta baja como las menos importantes. A este ítem se le podrá asignar un peso mínimo de 2% hasta un máximo del 10%. </w:t>
      </w:r>
    </w:p>
    <w:p w14:paraId="39D3C41D" w14:textId="77777777" w:rsidR="00E93B7A" w:rsidRPr="0081375C" w:rsidRDefault="00E93B7A" w:rsidP="003F6B53">
      <w:pPr>
        <w:spacing w:line="23" w:lineRule="atLeast"/>
        <w:jc w:val="both"/>
        <w:rPr>
          <w:rFonts w:ascii="Arial" w:eastAsia="Arial" w:hAnsi="Arial" w:cs="Arial"/>
          <w:color w:val="000000" w:themeColor="text1"/>
        </w:rPr>
      </w:pPr>
    </w:p>
    <w:p w14:paraId="2BBD2679"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Se emplearon como fuentes de información las capas de recarga de acuíferos de los instrumentos de Actualización POMCA Río Aburrá (2016) y Formulación del plan de manejo ambiental de acuífero del Valle de Aburrá (2018).</w:t>
      </w:r>
    </w:p>
    <w:p w14:paraId="79DEB59C" w14:textId="77777777" w:rsidR="00E93B7A" w:rsidRPr="0081375C" w:rsidRDefault="00E93B7A" w:rsidP="003F6B53">
      <w:pPr>
        <w:spacing w:line="23" w:lineRule="atLeast"/>
        <w:jc w:val="both"/>
        <w:rPr>
          <w:rFonts w:ascii="Arial" w:eastAsia="Arial" w:hAnsi="Arial" w:cs="Arial"/>
          <w:color w:val="000000" w:themeColor="text1"/>
        </w:rPr>
      </w:pPr>
    </w:p>
    <w:p w14:paraId="734B218E" w14:textId="77777777" w:rsidR="00825D4D" w:rsidRPr="0081375C" w:rsidRDefault="00806784" w:rsidP="003F6B53">
      <w:pPr>
        <w:pStyle w:val="Prrafodelista"/>
        <w:numPr>
          <w:ilvl w:val="0"/>
          <w:numId w:val="3"/>
        </w:numPr>
        <w:spacing w:line="23" w:lineRule="atLeast"/>
        <w:contextualSpacing w:val="0"/>
        <w:jc w:val="both"/>
        <w:rPr>
          <w:rFonts w:ascii="Arial" w:eastAsia="Arial" w:hAnsi="Arial" w:cs="Arial"/>
          <w:b/>
          <w:color w:val="000000" w:themeColor="text1"/>
        </w:rPr>
      </w:pPr>
      <w:bookmarkStart w:id="48" w:name="_Toc232134771"/>
      <w:r w:rsidRPr="0081375C">
        <w:rPr>
          <w:rFonts w:ascii="Arial" w:eastAsia="Arial" w:hAnsi="Arial" w:cs="Arial"/>
          <w:b/>
          <w:bCs/>
          <w:color w:val="000000" w:themeColor="text1"/>
        </w:rPr>
        <w:t>Criterio 4. Proporción de Coberturas y Ecosistemas Naturales Poco o Nada Intervenidos Presentes en el Predio</w:t>
      </w:r>
      <w:r w:rsidRPr="0081375C">
        <w:rPr>
          <w:rFonts w:ascii="Arial" w:eastAsia="Arial" w:hAnsi="Arial" w:cs="Arial"/>
          <w:b/>
          <w:bCs/>
          <w:i/>
          <w:iCs/>
          <w:color w:val="000000" w:themeColor="text1"/>
        </w:rPr>
        <w:t>:</w:t>
      </w:r>
      <w:bookmarkEnd w:id="48"/>
    </w:p>
    <w:p w14:paraId="6C6F9BD9" w14:textId="77777777" w:rsidR="000312F2" w:rsidRPr="0081375C" w:rsidRDefault="000312F2" w:rsidP="000312F2">
      <w:pPr>
        <w:pStyle w:val="Prrafodelista"/>
        <w:spacing w:line="23" w:lineRule="atLeast"/>
        <w:contextualSpacing w:val="0"/>
        <w:jc w:val="both"/>
        <w:rPr>
          <w:rFonts w:ascii="Arial" w:eastAsia="Arial" w:hAnsi="Arial" w:cs="Arial"/>
          <w:b/>
          <w:color w:val="000000" w:themeColor="text1"/>
        </w:rPr>
      </w:pPr>
    </w:p>
    <w:p w14:paraId="2AAADDE3"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este criterio, se analiza el nivel de coberturas boscosas que posea cada uno de los predios ubicados dentro del ecosistema estratégico, utilizando la información de delimitaciones de coberturas boscosas realizadas a través de digitalización de imágenes satelitales actualizadas a las más recientes disponibles. </w:t>
      </w:r>
    </w:p>
    <w:p w14:paraId="67DB8C3E" w14:textId="77777777" w:rsidR="000312F2" w:rsidRPr="0081375C" w:rsidRDefault="000312F2" w:rsidP="003F6B53">
      <w:pPr>
        <w:spacing w:line="23" w:lineRule="atLeast"/>
        <w:jc w:val="both"/>
        <w:rPr>
          <w:rFonts w:ascii="Arial" w:eastAsia="Arial" w:hAnsi="Arial" w:cs="Arial"/>
          <w:color w:val="000000" w:themeColor="text1"/>
        </w:rPr>
      </w:pPr>
    </w:p>
    <w:p w14:paraId="780F0BF4"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esta evaluación se determina la importancia de cada predio </w:t>
      </w:r>
      <w:proofErr w:type="gramStart"/>
      <w:r w:rsidRPr="0081375C">
        <w:rPr>
          <w:rFonts w:ascii="Arial" w:eastAsia="Arial" w:hAnsi="Arial" w:cs="Arial"/>
          <w:color w:val="000000" w:themeColor="text1"/>
        </w:rPr>
        <w:t>de acuerdo a</w:t>
      </w:r>
      <w:proofErr w:type="gramEnd"/>
      <w:r w:rsidRPr="0081375C">
        <w:rPr>
          <w:rFonts w:ascii="Arial" w:eastAsia="Arial" w:hAnsi="Arial" w:cs="Arial"/>
          <w:color w:val="000000" w:themeColor="text1"/>
        </w:rPr>
        <w:t xml:space="preserve"> la contribución de áreas en preservación y/o restauración, en caso de tener ausencia de cobertura o muy poca. Las coberturas sujetas a evaluación para la acción de preservación corresponden a bosques y vegetación secundaria alta, mientras que para restauración corresponden a pastos limpios, pastos enmalezados y pastos arbolados. El valor podrá variar de 2% a un máximo del 10%. </w:t>
      </w:r>
    </w:p>
    <w:p w14:paraId="53CD03D7" w14:textId="77777777" w:rsidR="000312F2" w:rsidRPr="0081375C" w:rsidRDefault="000312F2" w:rsidP="003F6B53">
      <w:pPr>
        <w:spacing w:line="23" w:lineRule="atLeast"/>
        <w:jc w:val="both"/>
        <w:rPr>
          <w:rFonts w:ascii="Arial" w:eastAsia="Arial" w:hAnsi="Arial" w:cs="Arial"/>
          <w:color w:val="000000" w:themeColor="text1"/>
        </w:rPr>
      </w:pPr>
    </w:p>
    <w:p w14:paraId="2AB73A7B" w14:textId="3B79870B" w:rsidR="000312F2" w:rsidRPr="0081375C" w:rsidRDefault="608C8B8C" w:rsidP="000312F2">
      <w:pPr>
        <w:spacing w:line="23" w:lineRule="atLeast"/>
        <w:jc w:val="both"/>
        <w:rPr>
          <w:rFonts w:ascii="Arial" w:eastAsia="Arial" w:hAnsi="Arial" w:cs="Arial"/>
          <w:color w:val="000000" w:themeColor="text1"/>
        </w:rPr>
      </w:pPr>
      <w:bookmarkStart w:id="49" w:name="_Toc232134772"/>
      <w:r w:rsidRPr="0081375C">
        <w:rPr>
          <w:rFonts w:ascii="Arial" w:eastAsia="Arial" w:hAnsi="Arial" w:cs="Arial"/>
          <w:color w:val="000000" w:themeColor="text1"/>
        </w:rPr>
        <w:t xml:space="preserve">Como fuente de información para este análisis, se emplea la información cartográfica de la delimitación de coberturas boscosas del ecosistema estratégico en escala 1:5.000, la cual se extrae de ortofotos actualizadas. </w:t>
      </w:r>
    </w:p>
    <w:p w14:paraId="64CD0E93" w14:textId="77777777" w:rsidR="000312F2" w:rsidRPr="0081375C" w:rsidRDefault="000312F2" w:rsidP="000312F2">
      <w:pPr>
        <w:spacing w:line="23" w:lineRule="atLeast"/>
        <w:jc w:val="both"/>
        <w:rPr>
          <w:rFonts w:ascii="Arial" w:eastAsia="Arial" w:hAnsi="Arial" w:cs="Arial"/>
          <w:color w:val="000000" w:themeColor="text1"/>
        </w:rPr>
      </w:pPr>
    </w:p>
    <w:p w14:paraId="49651D27" w14:textId="610788BA" w:rsidR="00825D4D" w:rsidRPr="0081375C" w:rsidRDefault="00806784" w:rsidP="003F6B53">
      <w:pPr>
        <w:pStyle w:val="Prrafodelista"/>
        <w:numPr>
          <w:ilvl w:val="0"/>
          <w:numId w:val="1"/>
        </w:numPr>
        <w:spacing w:line="23" w:lineRule="atLeast"/>
        <w:contextualSpacing w:val="0"/>
        <w:jc w:val="both"/>
        <w:rPr>
          <w:rFonts w:ascii="Arial" w:eastAsia="Arial" w:hAnsi="Arial" w:cs="Arial"/>
          <w:color w:val="000000" w:themeColor="text1"/>
        </w:rPr>
      </w:pPr>
      <w:r w:rsidRPr="0081375C">
        <w:rPr>
          <w:rFonts w:ascii="Arial" w:eastAsia="Arial" w:hAnsi="Arial" w:cs="Arial"/>
          <w:b/>
          <w:bCs/>
          <w:color w:val="000000" w:themeColor="text1"/>
        </w:rPr>
        <w:t>Criterio 5. Grado de Amenaza de los Ecosistemas Naturales por Presión Antrópica</w:t>
      </w:r>
      <w:bookmarkEnd w:id="49"/>
      <w:r w:rsidR="000312F2" w:rsidRPr="0081375C">
        <w:rPr>
          <w:rFonts w:ascii="Arial" w:eastAsia="Arial" w:hAnsi="Arial" w:cs="Arial"/>
          <w:b/>
          <w:bCs/>
          <w:color w:val="000000" w:themeColor="text1"/>
        </w:rPr>
        <w:t>.</w:t>
      </w:r>
    </w:p>
    <w:p w14:paraId="3BAC7F70" w14:textId="77777777" w:rsidR="000312F2" w:rsidRPr="0081375C" w:rsidRDefault="000312F2" w:rsidP="000312F2">
      <w:pPr>
        <w:spacing w:line="23" w:lineRule="atLeast"/>
        <w:jc w:val="both"/>
        <w:rPr>
          <w:rFonts w:ascii="Arial" w:eastAsia="Arial" w:hAnsi="Arial" w:cs="Arial"/>
          <w:color w:val="000000" w:themeColor="text1"/>
        </w:rPr>
      </w:pPr>
    </w:p>
    <w:p w14:paraId="20F6AE91"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 xml:space="preserve">Este criterio busca asociar el grado de amenaza antrópica que podría afectar un área donde se encuentre la mayor porción del predio. En donde se cataloga con mayor grado de amenaza (mayor puntaje) las tipologías de uso más permisivas y con menor grado de amenaza (menor puntaje) las menos permisivas. Como fuente de información se utiliza la información cartográfica de usos de suelo rurales establecida por el POT del Distrito (Acuerdo Distrital 048 / 2014 o el que lo sustituya). </w:t>
      </w:r>
    </w:p>
    <w:p w14:paraId="62A8DD9F" w14:textId="77777777" w:rsidR="000312F2" w:rsidRPr="0081375C" w:rsidRDefault="000312F2" w:rsidP="003F6B53">
      <w:pPr>
        <w:spacing w:line="23" w:lineRule="atLeast"/>
        <w:jc w:val="both"/>
        <w:rPr>
          <w:rFonts w:ascii="Arial" w:eastAsia="Arial" w:hAnsi="Arial" w:cs="Arial"/>
          <w:color w:val="000000" w:themeColor="text1"/>
        </w:rPr>
      </w:pPr>
    </w:p>
    <w:p w14:paraId="64CB20D0" w14:textId="77777777" w:rsidR="00825D4D" w:rsidRPr="0081375C" w:rsidRDefault="608C8B8C"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Para el criterio 5 se realizó el análisis respecto al uso principal del suelo: forestal protector, forestal productor, agroforestal, agropecuario, agrícola, minería en transición, mixto urbano rural o servicios e industria. A continuación, se asigna un porcentaje a cada uso del suelo, con valores que oscilarán entre 1,88% y un máximo del 15%. </w:t>
      </w:r>
    </w:p>
    <w:p w14:paraId="5578B9D4" w14:textId="77777777" w:rsidR="00FF3BB4" w:rsidRPr="0081375C" w:rsidRDefault="00FF3BB4" w:rsidP="003F6B53">
      <w:pPr>
        <w:spacing w:line="23" w:lineRule="atLeast"/>
        <w:jc w:val="both"/>
        <w:rPr>
          <w:rFonts w:ascii="Arial" w:hAnsi="Arial" w:cs="Arial"/>
          <w:b/>
          <w:color w:val="000000" w:themeColor="text1"/>
          <w:sz w:val="20"/>
          <w:szCs w:val="20"/>
        </w:rPr>
      </w:pPr>
    </w:p>
    <w:p w14:paraId="443E0E6F" w14:textId="77777777" w:rsidR="000312F2" w:rsidRPr="0081375C" w:rsidRDefault="000312F2" w:rsidP="00FF3BB4">
      <w:pPr>
        <w:spacing w:line="23" w:lineRule="atLeast"/>
        <w:jc w:val="both"/>
        <w:rPr>
          <w:rFonts w:ascii="Arial" w:eastAsia="Arial" w:hAnsi="Arial" w:cs="Arial"/>
          <w:b/>
          <w:color w:val="000000" w:themeColor="text1"/>
        </w:rPr>
      </w:pPr>
      <w:bookmarkStart w:id="50" w:name="_Toc232134773"/>
    </w:p>
    <w:p w14:paraId="05C15C85" w14:textId="2E992570" w:rsidR="00825D4D" w:rsidRPr="0081375C" w:rsidRDefault="00806784" w:rsidP="003F6B53">
      <w:pPr>
        <w:pStyle w:val="Prrafodelista"/>
        <w:numPr>
          <w:ilvl w:val="0"/>
          <w:numId w:val="3"/>
        </w:numPr>
        <w:spacing w:line="23" w:lineRule="atLeast"/>
        <w:contextualSpacing w:val="0"/>
        <w:jc w:val="both"/>
        <w:rPr>
          <w:rFonts w:ascii="Arial" w:eastAsia="Arial" w:hAnsi="Arial" w:cs="Arial"/>
          <w:b/>
          <w:color w:val="000000" w:themeColor="text1"/>
        </w:rPr>
      </w:pPr>
      <w:r w:rsidRPr="0081375C">
        <w:rPr>
          <w:rFonts w:ascii="Arial" w:eastAsia="Arial" w:hAnsi="Arial" w:cs="Arial"/>
          <w:b/>
          <w:bCs/>
          <w:color w:val="000000" w:themeColor="text1"/>
        </w:rPr>
        <w:t>Criterio 6. Fragilidad de los Ecosistemas Naturales Existentes:</w:t>
      </w:r>
      <w:bookmarkEnd w:id="50"/>
    </w:p>
    <w:p w14:paraId="2ABAA86B" w14:textId="77777777" w:rsidR="000312F2" w:rsidRPr="0081375C" w:rsidRDefault="000312F2" w:rsidP="00083D00">
      <w:pPr>
        <w:spacing w:line="23" w:lineRule="atLeast"/>
        <w:jc w:val="both"/>
        <w:rPr>
          <w:rFonts w:ascii="Arial" w:eastAsia="Arial" w:hAnsi="Arial" w:cs="Arial"/>
          <w:b/>
          <w:color w:val="000000" w:themeColor="text1"/>
        </w:rPr>
      </w:pPr>
    </w:p>
    <w:p w14:paraId="38D3E8F8"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Este criterio busca identificar dentro de los predios ubicados en el ecosistema estratégico, aquellos que poseen elementos ecosistémicos con alto grado de fragilidad que deban ser priorizados para conservar. Como principales elementos de alta fragilidad se incorporan los ojos de sal, los humedales y las cuencas de orden cero. Como fuente de información se utiliza la información cartográfica más actualizada aportada por el Distrito. </w:t>
      </w:r>
    </w:p>
    <w:p w14:paraId="258F7C8B" w14:textId="77777777" w:rsidR="00FF3BB4" w:rsidRPr="0081375C" w:rsidRDefault="00FF3BB4" w:rsidP="003F6B53">
      <w:pPr>
        <w:spacing w:line="23" w:lineRule="atLeast"/>
        <w:jc w:val="both"/>
        <w:rPr>
          <w:rFonts w:ascii="Arial" w:eastAsia="Arial" w:hAnsi="Arial" w:cs="Arial"/>
          <w:color w:val="000000" w:themeColor="text1"/>
        </w:rPr>
      </w:pPr>
    </w:p>
    <w:p w14:paraId="1068ADA8"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Este criterio, asignará un valor porcentual dependiendo si el predio contiene alguno o varios de los siguientes ecosistemas naturales: humedales, ojos de sal y/o cuencas de orden cero. Los valores del criterio podrán variar desde 0% a un máximo del 15%. </w:t>
      </w:r>
    </w:p>
    <w:p w14:paraId="5B8AAD5B" w14:textId="77777777" w:rsidR="00FF3BB4" w:rsidRPr="0081375C" w:rsidRDefault="00FF3BB4" w:rsidP="003F6B53">
      <w:pPr>
        <w:spacing w:line="23" w:lineRule="atLeast"/>
        <w:jc w:val="both"/>
        <w:rPr>
          <w:rFonts w:ascii="Arial" w:eastAsia="Arial" w:hAnsi="Arial" w:cs="Arial"/>
          <w:color w:val="000000" w:themeColor="text1"/>
        </w:rPr>
      </w:pPr>
    </w:p>
    <w:p w14:paraId="62C40C5B" w14:textId="77777777" w:rsidR="00FF3BB4" w:rsidRPr="0081375C" w:rsidRDefault="00FF3BB4" w:rsidP="00FF3BB4">
      <w:pPr>
        <w:pStyle w:val="Prrafodelista"/>
        <w:spacing w:line="23" w:lineRule="atLeast"/>
        <w:contextualSpacing w:val="0"/>
        <w:jc w:val="both"/>
        <w:rPr>
          <w:rFonts w:ascii="Arial" w:eastAsia="Arial" w:hAnsi="Arial" w:cs="Arial"/>
          <w:b/>
          <w:color w:val="000000" w:themeColor="text1"/>
        </w:rPr>
      </w:pPr>
    </w:p>
    <w:p w14:paraId="78A229EB" w14:textId="45121BDF" w:rsidR="00825D4D" w:rsidRPr="0081375C" w:rsidRDefault="00806784" w:rsidP="003F6B53">
      <w:pPr>
        <w:pStyle w:val="Prrafodelista"/>
        <w:numPr>
          <w:ilvl w:val="0"/>
          <w:numId w:val="3"/>
        </w:numPr>
        <w:spacing w:line="23" w:lineRule="atLeast"/>
        <w:contextualSpacing w:val="0"/>
        <w:jc w:val="both"/>
        <w:rPr>
          <w:rFonts w:ascii="Arial" w:eastAsia="Arial" w:hAnsi="Arial" w:cs="Arial"/>
          <w:b/>
          <w:color w:val="000000" w:themeColor="text1"/>
        </w:rPr>
      </w:pPr>
      <w:r w:rsidRPr="0081375C">
        <w:rPr>
          <w:rFonts w:ascii="Arial" w:eastAsia="Arial" w:hAnsi="Arial" w:cs="Arial"/>
          <w:b/>
          <w:bCs/>
          <w:color w:val="000000" w:themeColor="text1"/>
        </w:rPr>
        <w:t xml:space="preserve">Criterio 7. Conectividad Ecosistémica: </w:t>
      </w:r>
    </w:p>
    <w:p w14:paraId="2294B7F9" w14:textId="77777777" w:rsidR="00FF3BB4" w:rsidRPr="0081375C" w:rsidRDefault="00FF3BB4" w:rsidP="00FF3BB4">
      <w:pPr>
        <w:pStyle w:val="Prrafodelista"/>
        <w:spacing w:line="23" w:lineRule="atLeast"/>
        <w:contextualSpacing w:val="0"/>
        <w:jc w:val="both"/>
        <w:rPr>
          <w:rFonts w:ascii="Arial" w:eastAsia="Arial" w:hAnsi="Arial" w:cs="Arial"/>
          <w:b/>
          <w:color w:val="000000" w:themeColor="text1"/>
        </w:rPr>
      </w:pPr>
    </w:p>
    <w:p w14:paraId="26A51066"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Este criterio busca dar mayor nivel de priorización a los predios que aporten de algún modo a los procesos de conectividad ecosistémica dentro del ecosistema estratégico. Para esto se toma como insumo la información cartográfica de la Red Ecológica Estructurante propuesta por el POT (Acuerdo Distrital 048 / 2014). Se cruza dicha información con los predios ubicados dentro del ecosistema estratégico. </w:t>
      </w:r>
    </w:p>
    <w:p w14:paraId="67D118C6" w14:textId="77777777" w:rsidR="00FF3BB4" w:rsidRPr="0081375C" w:rsidRDefault="00FF3BB4" w:rsidP="003F6B53">
      <w:pPr>
        <w:spacing w:line="23" w:lineRule="atLeast"/>
        <w:jc w:val="both"/>
        <w:rPr>
          <w:rFonts w:ascii="Arial" w:eastAsia="Arial" w:hAnsi="Arial" w:cs="Arial"/>
          <w:color w:val="000000" w:themeColor="text1"/>
        </w:rPr>
      </w:pPr>
    </w:p>
    <w:p w14:paraId="45B7BCEE" w14:textId="21A65D63"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Además, se consideran las Reservas Naturales de la Sociedad Civil (RNSC) existentes en el distrito como elementos que permiten o podrían permitir la conectividad ecosistémica. Para la identificación de estas, se toma como fuente de información el reporte cartográfico de las áreas del Registro Único Nacional de Áreas </w:t>
      </w:r>
      <w:r w:rsidR="00FF3BB4" w:rsidRPr="0081375C">
        <w:rPr>
          <w:rFonts w:ascii="Arial" w:eastAsia="Arial" w:hAnsi="Arial" w:cs="Arial"/>
          <w:color w:val="000000" w:themeColor="text1"/>
        </w:rPr>
        <w:t>Protegidas (</w:t>
      </w:r>
      <w:r w:rsidRPr="0081375C">
        <w:rPr>
          <w:rFonts w:ascii="Arial" w:eastAsia="Arial" w:hAnsi="Arial" w:cs="Arial"/>
          <w:color w:val="000000" w:themeColor="text1"/>
        </w:rPr>
        <w:t>RUNAP).</w:t>
      </w:r>
    </w:p>
    <w:p w14:paraId="372571BA" w14:textId="77777777" w:rsidR="003F59F8" w:rsidRPr="0081375C" w:rsidRDefault="003F59F8" w:rsidP="003F6B53">
      <w:pPr>
        <w:spacing w:line="23" w:lineRule="atLeast"/>
        <w:jc w:val="both"/>
        <w:rPr>
          <w:rFonts w:ascii="Arial" w:eastAsia="Arial" w:hAnsi="Arial" w:cs="Arial"/>
          <w:color w:val="000000" w:themeColor="text1"/>
        </w:rPr>
      </w:pPr>
    </w:p>
    <w:p w14:paraId="57DD3A71"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Se implementa como insumo de análisis las coberturas naturales de la Red Ecológica estructurante disponible en la cartografía oficial del acuerdo 048 de 2014. Si el predio se </w:t>
      </w:r>
      <w:r w:rsidRPr="0081375C">
        <w:rPr>
          <w:rFonts w:ascii="Arial" w:eastAsia="Arial" w:hAnsi="Arial" w:cs="Arial"/>
          <w:color w:val="000000" w:themeColor="text1"/>
        </w:rPr>
        <w:lastRenderedPageBreak/>
        <w:t xml:space="preserve">encuentra dentro de estas áreas y además contiene RNSC, se le podrá asignar valores que van desde el 0% a un máximo del 15%.  </w:t>
      </w:r>
    </w:p>
    <w:p w14:paraId="449B6CBE" w14:textId="77777777" w:rsidR="00FF3BB4" w:rsidRPr="0081375C" w:rsidRDefault="00FF3BB4" w:rsidP="003F6B53">
      <w:pPr>
        <w:spacing w:line="23" w:lineRule="atLeast"/>
        <w:jc w:val="both"/>
        <w:rPr>
          <w:rFonts w:ascii="Arial" w:eastAsia="Arial" w:hAnsi="Arial" w:cs="Arial"/>
          <w:color w:val="000000" w:themeColor="text1"/>
        </w:rPr>
      </w:pPr>
    </w:p>
    <w:p w14:paraId="4D2923FA" w14:textId="04EFC0EB" w:rsidR="00825D4D" w:rsidRPr="0081375C" w:rsidRDefault="00806784" w:rsidP="003F6B53">
      <w:pPr>
        <w:pStyle w:val="Prrafodelista"/>
        <w:numPr>
          <w:ilvl w:val="0"/>
          <w:numId w:val="3"/>
        </w:numPr>
        <w:spacing w:line="23" w:lineRule="atLeast"/>
        <w:contextualSpacing w:val="0"/>
        <w:jc w:val="both"/>
        <w:rPr>
          <w:rFonts w:ascii="Arial" w:eastAsia="Arial" w:hAnsi="Arial" w:cs="Arial"/>
          <w:b/>
          <w:color w:val="000000" w:themeColor="text1"/>
        </w:rPr>
      </w:pPr>
      <w:r w:rsidRPr="0081375C">
        <w:rPr>
          <w:rFonts w:ascii="Arial" w:eastAsia="Arial" w:hAnsi="Arial" w:cs="Arial"/>
          <w:b/>
          <w:bCs/>
          <w:color w:val="000000" w:themeColor="text1"/>
        </w:rPr>
        <w:t>Criterio 8. Incidencia del Predio en la Calidad del Agua de los Acueductos Beneficiados:</w:t>
      </w:r>
    </w:p>
    <w:p w14:paraId="15C0632B" w14:textId="77777777" w:rsidR="00FF3BB4" w:rsidRPr="0081375C" w:rsidRDefault="00FF3BB4" w:rsidP="00FF3BB4">
      <w:pPr>
        <w:pStyle w:val="Prrafodelista"/>
        <w:spacing w:line="23" w:lineRule="atLeast"/>
        <w:contextualSpacing w:val="0"/>
        <w:jc w:val="both"/>
        <w:rPr>
          <w:rFonts w:ascii="Arial" w:eastAsia="Arial" w:hAnsi="Arial" w:cs="Arial"/>
          <w:b/>
          <w:color w:val="000000" w:themeColor="text1"/>
        </w:rPr>
      </w:pPr>
    </w:p>
    <w:p w14:paraId="06EC1F00"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presente criterio busca darles mayor importancia a los predios que estén dentro del ecosistema estratégico que posean una relación directa con la calidad del recurso hídrico, específicamente los predios que poseen superficie dentro de las áreas de influencia (100 metros) a la redonda de las bocatomas de acueductos o de nacimientos de fuentes hídricas. </w:t>
      </w:r>
    </w:p>
    <w:p w14:paraId="033F635D" w14:textId="77777777" w:rsidR="000274C9" w:rsidRPr="0081375C" w:rsidRDefault="000274C9" w:rsidP="003F6B53">
      <w:pPr>
        <w:spacing w:line="23" w:lineRule="atLeast"/>
        <w:jc w:val="both"/>
        <w:rPr>
          <w:rFonts w:ascii="Arial" w:eastAsia="Arial" w:hAnsi="Arial" w:cs="Arial"/>
          <w:color w:val="000000" w:themeColor="text1"/>
        </w:rPr>
      </w:pPr>
    </w:p>
    <w:p w14:paraId="337BC4AB"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Como fuentes de información, se utiliza la cartográfica de los nacimientos de fuentes hídricas protocolizada por el POT (Acuerdo Distrital 048 / 2014) y la información cartográfica aportada por la Subsecretaría de Servicios Públicos Domiciliarios y de EPM para las bocatomas de los acueductos veredales y urbanos. </w:t>
      </w:r>
    </w:p>
    <w:p w14:paraId="1DB22F70" w14:textId="77777777" w:rsidR="000274C9" w:rsidRPr="0081375C" w:rsidRDefault="000274C9" w:rsidP="003F6B53">
      <w:pPr>
        <w:spacing w:line="23" w:lineRule="atLeast"/>
        <w:jc w:val="both"/>
        <w:rPr>
          <w:rFonts w:ascii="Arial" w:eastAsia="Arial" w:hAnsi="Arial" w:cs="Arial"/>
          <w:color w:val="000000" w:themeColor="text1"/>
        </w:rPr>
      </w:pPr>
    </w:p>
    <w:p w14:paraId="3339A81D"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Para este análisis, se seleccionará los predios que tengan nacimientos de agua, debido a que estos tienen una mejor calidad de agua, ya que, a medida que la red hídrica se aleja del nacimiento, esta tendrá mayor carga contaminante aguas abajo. También se tendrán en cuenta las bocatomas que puedan encontrarse. A este ítem se le asignará un peso que va desde el 0% hasta el valor máximo del 10%. </w:t>
      </w:r>
    </w:p>
    <w:p w14:paraId="48379CFA" w14:textId="77777777" w:rsidR="000274C9" w:rsidRPr="0081375C" w:rsidRDefault="000274C9" w:rsidP="003F6B53">
      <w:pPr>
        <w:spacing w:line="23" w:lineRule="atLeast"/>
        <w:jc w:val="both"/>
        <w:rPr>
          <w:rFonts w:ascii="Arial" w:eastAsia="Arial" w:hAnsi="Arial" w:cs="Arial"/>
          <w:color w:val="000000" w:themeColor="text1"/>
        </w:rPr>
      </w:pPr>
    </w:p>
    <w:p w14:paraId="086B1C21" w14:textId="5D84058D"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puntaje total se calcula como la sumatoria de los criterios C1 a C8 ponderada con su respectivo peso. Una vez calculado, cada predio recibe una categoría de priorización:</w:t>
      </w:r>
    </w:p>
    <w:p w14:paraId="53F77EED" w14:textId="77777777" w:rsidR="000274C9" w:rsidRPr="0081375C" w:rsidRDefault="000274C9" w:rsidP="003F6B53">
      <w:pPr>
        <w:spacing w:line="23" w:lineRule="atLeast"/>
        <w:jc w:val="both"/>
        <w:rPr>
          <w:rFonts w:ascii="Arial" w:eastAsia="Arial" w:hAnsi="Arial" w:cs="Arial"/>
          <w:color w:val="000000" w:themeColor="text1"/>
        </w:rPr>
      </w:pPr>
    </w:p>
    <w:p w14:paraId="2585DF7F" w14:textId="38C401C8" w:rsidR="000274C9" w:rsidRPr="0081375C" w:rsidRDefault="00806784" w:rsidP="003F6B53">
      <w:pPr>
        <w:spacing w:line="23" w:lineRule="atLeast"/>
        <w:jc w:val="both"/>
        <w:rPr>
          <w:rFonts w:ascii="Arial" w:eastAsia="Arial" w:hAnsi="Arial" w:cs="Arial"/>
          <w:b/>
          <w:bCs/>
          <w:color w:val="000000" w:themeColor="text1"/>
          <w:sz w:val="20"/>
          <w:szCs w:val="20"/>
        </w:rPr>
      </w:pPr>
      <w:bookmarkStart w:id="51" w:name="_Toc233040664"/>
      <w:r w:rsidRPr="0081375C">
        <w:rPr>
          <w:rFonts w:ascii="Arial" w:eastAsia="Arial" w:hAnsi="Arial" w:cs="Arial"/>
          <w:b/>
          <w:bCs/>
          <w:color w:val="000000" w:themeColor="text1"/>
          <w:sz w:val="20"/>
          <w:szCs w:val="20"/>
        </w:rPr>
        <w:t xml:space="preserve">Tabla </w:t>
      </w:r>
      <w:r w:rsidRPr="0081375C">
        <w:rPr>
          <w:rFonts w:ascii="Arial" w:eastAsia="Arial" w:hAnsi="Arial" w:cs="Arial"/>
          <w:b/>
          <w:bCs/>
          <w:color w:val="000000" w:themeColor="text1"/>
          <w:sz w:val="20"/>
          <w:szCs w:val="20"/>
        </w:rPr>
        <w:fldChar w:fldCharType="begin"/>
      </w:r>
      <w:r w:rsidRPr="0081375C">
        <w:rPr>
          <w:rFonts w:ascii="Arial" w:eastAsia="Arial" w:hAnsi="Arial" w:cs="Arial"/>
          <w:b/>
          <w:bCs/>
          <w:color w:val="000000" w:themeColor="text1"/>
          <w:sz w:val="20"/>
          <w:szCs w:val="20"/>
        </w:rPr>
        <w:instrText xml:space="preserve"> SEQ Tabla \* ARABIC </w:instrText>
      </w:r>
      <w:r w:rsidRPr="0081375C">
        <w:rPr>
          <w:rFonts w:ascii="Arial" w:eastAsia="Arial" w:hAnsi="Arial" w:cs="Arial"/>
          <w:b/>
          <w:bCs/>
          <w:color w:val="000000" w:themeColor="text1"/>
          <w:sz w:val="20"/>
          <w:szCs w:val="20"/>
        </w:rPr>
        <w:fldChar w:fldCharType="separate"/>
      </w:r>
      <w:r w:rsidR="00921CE3" w:rsidRPr="0081375C">
        <w:rPr>
          <w:rFonts w:ascii="Arial" w:eastAsia="Arial" w:hAnsi="Arial" w:cs="Arial"/>
          <w:b/>
          <w:bCs/>
          <w:noProof/>
          <w:color w:val="000000" w:themeColor="text1"/>
          <w:sz w:val="20"/>
          <w:szCs w:val="20"/>
        </w:rPr>
        <w:t>19</w:t>
      </w:r>
      <w:r w:rsidRPr="0081375C">
        <w:rPr>
          <w:rFonts w:ascii="Arial" w:eastAsia="Arial" w:hAnsi="Arial" w:cs="Arial"/>
          <w:b/>
          <w:bCs/>
          <w:color w:val="000000" w:themeColor="text1"/>
          <w:sz w:val="20"/>
          <w:szCs w:val="20"/>
        </w:rPr>
        <w:fldChar w:fldCharType="end"/>
      </w:r>
      <w:r w:rsidRPr="0081375C">
        <w:rPr>
          <w:rFonts w:ascii="Arial" w:eastAsia="Arial" w:hAnsi="Arial" w:cs="Arial"/>
          <w:b/>
          <w:bCs/>
          <w:color w:val="000000" w:themeColor="text1"/>
          <w:sz w:val="20"/>
          <w:szCs w:val="20"/>
        </w:rPr>
        <w:t>. Cálculo la sumatoria de los criterios</w:t>
      </w:r>
      <w:bookmarkEnd w:id="51"/>
    </w:p>
    <w:tbl>
      <w:tblPr>
        <w:tblW w:w="8626" w:type="dxa"/>
        <w:tblLayout w:type="fixed"/>
        <w:tblCellMar>
          <w:top w:w="100" w:type="dxa"/>
          <w:left w:w="100" w:type="dxa"/>
          <w:bottom w:w="100" w:type="dxa"/>
          <w:right w:w="100" w:type="dxa"/>
        </w:tblCellMar>
        <w:tblLook w:val="0600" w:firstRow="0" w:lastRow="0" w:firstColumn="0" w:lastColumn="0" w:noHBand="1" w:noVBand="1"/>
      </w:tblPr>
      <w:tblGrid>
        <w:gridCol w:w="4294"/>
        <w:gridCol w:w="4332"/>
      </w:tblGrid>
      <w:tr w:rsidR="00825D4D" w:rsidRPr="0081375C" w14:paraId="3FA182E8" w14:textId="77777777" w:rsidTr="0055249F">
        <w:trPr>
          <w:trHeight w:val="20"/>
          <w:tblHeader/>
        </w:trPr>
        <w:tc>
          <w:tcPr>
            <w:tcW w:w="4294" w:type="dxa"/>
            <w:tcBorders>
              <w:top w:val="single" w:sz="8" w:space="0" w:color="000000"/>
              <w:left w:val="single" w:sz="8" w:space="0" w:color="000000"/>
              <w:bottom w:val="single" w:sz="8" w:space="0" w:color="000000"/>
              <w:right w:val="single" w:sz="8" w:space="0" w:color="000000"/>
            </w:tcBorders>
            <w:vAlign w:val="center"/>
          </w:tcPr>
          <w:p w14:paraId="0731BBCA"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Rango de puntaje</w:t>
            </w:r>
          </w:p>
        </w:tc>
        <w:tc>
          <w:tcPr>
            <w:tcW w:w="4332" w:type="dxa"/>
            <w:tcBorders>
              <w:top w:val="single" w:sz="8" w:space="0" w:color="000000"/>
              <w:left w:val="single" w:sz="8" w:space="0" w:color="000000"/>
              <w:bottom w:val="single" w:sz="8" w:space="0" w:color="000000"/>
              <w:right w:val="single" w:sz="8" w:space="0" w:color="000000"/>
            </w:tcBorders>
            <w:vAlign w:val="center"/>
          </w:tcPr>
          <w:p w14:paraId="19FDFB61"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Categoría</w:t>
            </w:r>
          </w:p>
        </w:tc>
      </w:tr>
      <w:tr w:rsidR="00825D4D" w:rsidRPr="0081375C" w14:paraId="4911D4FF"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3227C521"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Mayor de 50%</w:t>
            </w:r>
          </w:p>
        </w:tc>
        <w:tc>
          <w:tcPr>
            <w:tcW w:w="4332" w:type="dxa"/>
            <w:tcBorders>
              <w:top w:val="single" w:sz="8" w:space="0" w:color="000000"/>
              <w:left w:val="single" w:sz="8" w:space="0" w:color="000000"/>
              <w:bottom w:val="single" w:sz="8" w:space="0" w:color="000000"/>
              <w:right w:val="single" w:sz="8" w:space="0" w:color="000000"/>
            </w:tcBorders>
            <w:vAlign w:val="center"/>
          </w:tcPr>
          <w:p w14:paraId="3AC23FAE"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1</w:t>
            </w:r>
          </w:p>
        </w:tc>
      </w:tr>
      <w:tr w:rsidR="00825D4D" w:rsidRPr="0081375C" w14:paraId="1E74213D"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4C250BDC"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45% a 50%</w:t>
            </w:r>
          </w:p>
        </w:tc>
        <w:tc>
          <w:tcPr>
            <w:tcW w:w="4332" w:type="dxa"/>
            <w:tcBorders>
              <w:top w:val="single" w:sz="8" w:space="0" w:color="000000"/>
              <w:left w:val="single" w:sz="8" w:space="0" w:color="000000"/>
              <w:bottom w:val="single" w:sz="8" w:space="0" w:color="000000"/>
              <w:right w:val="single" w:sz="8" w:space="0" w:color="000000"/>
            </w:tcBorders>
            <w:vAlign w:val="center"/>
          </w:tcPr>
          <w:p w14:paraId="4444CCDD"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2</w:t>
            </w:r>
          </w:p>
        </w:tc>
      </w:tr>
      <w:tr w:rsidR="00825D4D" w:rsidRPr="0081375C" w14:paraId="75B573B5"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682BEAAA"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40% a 45%</w:t>
            </w:r>
          </w:p>
        </w:tc>
        <w:tc>
          <w:tcPr>
            <w:tcW w:w="4332" w:type="dxa"/>
            <w:tcBorders>
              <w:top w:val="single" w:sz="8" w:space="0" w:color="000000"/>
              <w:left w:val="single" w:sz="8" w:space="0" w:color="000000"/>
              <w:bottom w:val="single" w:sz="8" w:space="0" w:color="000000"/>
              <w:right w:val="single" w:sz="8" w:space="0" w:color="000000"/>
            </w:tcBorders>
            <w:vAlign w:val="center"/>
          </w:tcPr>
          <w:p w14:paraId="77D65CDD"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3</w:t>
            </w:r>
          </w:p>
        </w:tc>
      </w:tr>
      <w:tr w:rsidR="00825D4D" w:rsidRPr="0081375C" w14:paraId="7B9BA429"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4D24D679"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35% a 40%</w:t>
            </w:r>
          </w:p>
        </w:tc>
        <w:tc>
          <w:tcPr>
            <w:tcW w:w="4332" w:type="dxa"/>
            <w:tcBorders>
              <w:top w:val="single" w:sz="8" w:space="0" w:color="000000"/>
              <w:left w:val="single" w:sz="8" w:space="0" w:color="000000"/>
              <w:bottom w:val="single" w:sz="8" w:space="0" w:color="000000"/>
              <w:right w:val="single" w:sz="8" w:space="0" w:color="000000"/>
            </w:tcBorders>
            <w:vAlign w:val="center"/>
          </w:tcPr>
          <w:p w14:paraId="1944B334"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4</w:t>
            </w:r>
          </w:p>
        </w:tc>
      </w:tr>
      <w:tr w:rsidR="00825D4D" w:rsidRPr="0081375C" w14:paraId="6069E9A4"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1CF5A3AB"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30% a 35%</w:t>
            </w:r>
          </w:p>
        </w:tc>
        <w:tc>
          <w:tcPr>
            <w:tcW w:w="4332" w:type="dxa"/>
            <w:tcBorders>
              <w:top w:val="single" w:sz="8" w:space="0" w:color="000000"/>
              <w:left w:val="single" w:sz="8" w:space="0" w:color="000000"/>
              <w:bottom w:val="single" w:sz="8" w:space="0" w:color="000000"/>
              <w:right w:val="single" w:sz="8" w:space="0" w:color="000000"/>
            </w:tcBorders>
            <w:vAlign w:val="center"/>
          </w:tcPr>
          <w:p w14:paraId="1694AAD2"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5</w:t>
            </w:r>
          </w:p>
        </w:tc>
      </w:tr>
      <w:tr w:rsidR="00825D4D" w:rsidRPr="0081375C" w14:paraId="6D26C546"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5A3530FD"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25% a 30%</w:t>
            </w:r>
          </w:p>
        </w:tc>
        <w:tc>
          <w:tcPr>
            <w:tcW w:w="4332" w:type="dxa"/>
            <w:tcBorders>
              <w:top w:val="single" w:sz="8" w:space="0" w:color="000000"/>
              <w:left w:val="single" w:sz="8" w:space="0" w:color="000000"/>
              <w:bottom w:val="single" w:sz="8" w:space="0" w:color="000000"/>
              <w:right w:val="single" w:sz="8" w:space="0" w:color="000000"/>
            </w:tcBorders>
            <w:vAlign w:val="center"/>
          </w:tcPr>
          <w:p w14:paraId="45A52FC7"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6</w:t>
            </w:r>
          </w:p>
        </w:tc>
      </w:tr>
      <w:tr w:rsidR="00825D4D" w:rsidRPr="0081375C" w14:paraId="6CB937E3" w14:textId="77777777" w:rsidTr="0055249F">
        <w:trPr>
          <w:trHeight w:val="20"/>
        </w:trPr>
        <w:tc>
          <w:tcPr>
            <w:tcW w:w="4294" w:type="dxa"/>
            <w:tcBorders>
              <w:top w:val="single" w:sz="8" w:space="0" w:color="000000"/>
              <w:left w:val="single" w:sz="8" w:space="0" w:color="000000"/>
              <w:bottom w:val="single" w:sz="8" w:space="0" w:color="000000"/>
              <w:right w:val="single" w:sz="8" w:space="0" w:color="000000"/>
            </w:tcBorders>
            <w:vAlign w:val="center"/>
          </w:tcPr>
          <w:p w14:paraId="036B026C"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0% a 25%</w:t>
            </w:r>
          </w:p>
        </w:tc>
        <w:tc>
          <w:tcPr>
            <w:tcW w:w="4332" w:type="dxa"/>
            <w:tcBorders>
              <w:top w:val="single" w:sz="8" w:space="0" w:color="000000"/>
              <w:left w:val="single" w:sz="8" w:space="0" w:color="000000"/>
              <w:bottom w:val="single" w:sz="8" w:space="0" w:color="000000"/>
              <w:right w:val="single" w:sz="8" w:space="0" w:color="000000"/>
            </w:tcBorders>
            <w:vAlign w:val="center"/>
          </w:tcPr>
          <w:p w14:paraId="3B48A39B" w14:textId="77777777" w:rsidR="00825D4D" w:rsidRPr="0081375C" w:rsidRDefault="00806784" w:rsidP="0055249F">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Priorización 7</w:t>
            </w:r>
          </w:p>
        </w:tc>
      </w:tr>
    </w:tbl>
    <w:p w14:paraId="18A203B7" w14:textId="77777777" w:rsidR="00825D4D" w:rsidRPr="0081375C" w:rsidRDefault="00825D4D" w:rsidP="003F6B53">
      <w:pPr>
        <w:spacing w:line="23" w:lineRule="atLeast"/>
        <w:jc w:val="both"/>
        <w:rPr>
          <w:rFonts w:ascii="Arial" w:eastAsia="Arial" w:hAnsi="Arial" w:cs="Arial"/>
          <w:b/>
          <w:bCs/>
          <w:color w:val="000000" w:themeColor="text1"/>
        </w:rPr>
      </w:pPr>
    </w:p>
    <w:p w14:paraId="1A754DE3" w14:textId="77777777" w:rsidR="00825D4D" w:rsidRPr="0081375C" w:rsidRDefault="00806784" w:rsidP="009710C3">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Desempates</w:t>
      </w:r>
    </w:p>
    <w:p w14:paraId="70CF74BE" w14:textId="77777777" w:rsidR="000274C9" w:rsidRPr="0081375C" w:rsidRDefault="000274C9" w:rsidP="000274C9">
      <w:pPr>
        <w:rPr>
          <w:rFonts w:ascii="Arial" w:hAnsi="Arial" w:cs="Arial"/>
        </w:rPr>
      </w:pPr>
    </w:p>
    <w:p w14:paraId="3F6526C8"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Cuando dos o más predios dentro de una misma categoría obtienen un puntaje total igual se aplican los criterios de desempate en el siguiente orden. El primero es D1: el número de nacimientos hídricos contenidos dentro del polígono predial, calculado a partir de la capa derivada correspondiente. El predio con mayor D1 se ubica primero. Si el empate persiste, se aplica D2: el porcentaje del perímetro del predio que limita con coberturas intervenidas (pastos, cultivos, tejido urbano), calculado como metros lineales sobre el perímetro total. El predio con mayor D2 se ubica primero, dado que representa mayor presión de transformación desde sus bordes.</w:t>
      </w:r>
    </w:p>
    <w:p w14:paraId="6977423F" w14:textId="77777777" w:rsidR="000274C9" w:rsidRPr="0081375C" w:rsidRDefault="000274C9" w:rsidP="003F6B53">
      <w:pPr>
        <w:spacing w:line="23" w:lineRule="atLeast"/>
        <w:jc w:val="both"/>
        <w:rPr>
          <w:rFonts w:ascii="Arial" w:hAnsi="Arial" w:cs="Arial"/>
          <w:color w:val="000000" w:themeColor="text1"/>
        </w:rPr>
      </w:pPr>
    </w:p>
    <w:p w14:paraId="268D946F"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Los empates que no se resuelven ni con D1 ni con D2 se transfieren a la evaluación técnica y visita de campo como casos marcados explícitamente para verificación. Se entregan con el valor cartográfico de D1 y D2 ya calculado; la visita solo dirime la discrepancia entre el dato cartográfico y la condición en campo, no rehace el cálculo desde cero.</w:t>
      </w:r>
    </w:p>
    <w:p w14:paraId="5ADF36A1" w14:textId="77777777" w:rsidR="000274C9" w:rsidRPr="0081375C" w:rsidRDefault="000274C9" w:rsidP="003F6B53">
      <w:pPr>
        <w:spacing w:line="23" w:lineRule="atLeast"/>
        <w:jc w:val="both"/>
        <w:rPr>
          <w:rFonts w:ascii="Arial" w:eastAsia="Arial" w:hAnsi="Arial" w:cs="Arial"/>
          <w:color w:val="000000" w:themeColor="text1"/>
        </w:rPr>
      </w:pPr>
    </w:p>
    <w:p w14:paraId="09FDBB32" w14:textId="6E020606" w:rsidR="00825D4D" w:rsidRPr="0081375C" w:rsidRDefault="608C8B8C"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Si tras la verificación en campo D1 y D2 siguen sin diferenciar los predios, debe aplicarse un criterio de cierre predefinido. </w:t>
      </w:r>
    </w:p>
    <w:p w14:paraId="61E64A25" w14:textId="77777777" w:rsidR="000274C9" w:rsidRPr="0081375C" w:rsidRDefault="000274C9" w:rsidP="003F6B53">
      <w:pPr>
        <w:spacing w:line="23" w:lineRule="atLeast"/>
        <w:jc w:val="both"/>
        <w:rPr>
          <w:rFonts w:ascii="Arial" w:eastAsia="Arial" w:hAnsi="Arial" w:cs="Arial"/>
          <w:color w:val="000000" w:themeColor="text1"/>
        </w:rPr>
      </w:pPr>
    </w:p>
    <w:p w14:paraId="21BFFCFA" w14:textId="1D87050C" w:rsidR="00825D4D" w:rsidRPr="0081375C" w:rsidRDefault="00806784" w:rsidP="009710C3">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Priorización </w:t>
      </w:r>
      <w:r w:rsidR="00155BCC" w:rsidRPr="0081375C">
        <w:rPr>
          <w:rFonts w:ascii="Arial" w:eastAsia="Aptos" w:hAnsi="Arial" w:cs="Arial"/>
          <w:b/>
          <w:bCs/>
          <w:color w:val="000000" w:themeColor="text1"/>
        </w:rPr>
        <w:t>C</w:t>
      </w:r>
      <w:r w:rsidRPr="0081375C">
        <w:rPr>
          <w:rFonts w:ascii="Arial" w:eastAsia="Aptos" w:hAnsi="Arial" w:cs="Arial"/>
          <w:b/>
          <w:bCs/>
          <w:color w:val="000000" w:themeColor="text1"/>
        </w:rPr>
        <w:t xml:space="preserve">ombinada con </w:t>
      </w:r>
      <w:r w:rsidR="00155BCC" w:rsidRPr="0081375C">
        <w:rPr>
          <w:rFonts w:ascii="Arial" w:eastAsia="Aptos" w:hAnsi="Arial" w:cs="Arial"/>
          <w:b/>
          <w:bCs/>
          <w:color w:val="000000" w:themeColor="text1"/>
        </w:rPr>
        <w:t>C</w:t>
      </w:r>
      <w:r w:rsidRPr="0081375C">
        <w:rPr>
          <w:rFonts w:ascii="Arial" w:eastAsia="Aptos" w:hAnsi="Arial" w:cs="Arial"/>
          <w:b/>
          <w:bCs/>
          <w:color w:val="000000" w:themeColor="text1"/>
        </w:rPr>
        <w:t xml:space="preserve">uenca </w:t>
      </w:r>
      <w:r w:rsidR="00155BCC" w:rsidRPr="0081375C">
        <w:rPr>
          <w:rFonts w:ascii="Arial" w:eastAsia="Aptos" w:hAnsi="Arial" w:cs="Arial"/>
          <w:b/>
          <w:bCs/>
          <w:color w:val="000000" w:themeColor="text1"/>
        </w:rPr>
        <w:t>A</w:t>
      </w:r>
      <w:r w:rsidRPr="0081375C">
        <w:rPr>
          <w:rFonts w:ascii="Arial" w:eastAsia="Aptos" w:hAnsi="Arial" w:cs="Arial"/>
          <w:b/>
          <w:bCs/>
          <w:color w:val="000000" w:themeColor="text1"/>
        </w:rPr>
        <w:t>bastecedora</w:t>
      </w:r>
    </w:p>
    <w:p w14:paraId="45B4B5A1" w14:textId="77777777" w:rsidR="000274C9" w:rsidRPr="0081375C" w:rsidRDefault="000274C9" w:rsidP="000274C9">
      <w:pPr>
        <w:rPr>
          <w:rFonts w:ascii="Arial" w:hAnsi="Arial" w:cs="Arial"/>
        </w:rPr>
      </w:pPr>
    </w:p>
    <w:p w14:paraId="2FFD0BC8" w14:textId="480CDC16" w:rsidR="00825D4D" w:rsidRPr="0081375C" w:rsidRDefault="00806784" w:rsidP="003F6B53">
      <w:pPr>
        <w:spacing w:line="23" w:lineRule="atLeast"/>
        <w:jc w:val="both"/>
        <w:rPr>
          <w:rFonts w:ascii="Arial" w:hAnsi="Arial" w:cs="Arial"/>
          <w:color w:val="000000" w:themeColor="text1"/>
        </w:rPr>
      </w:pPr>
      <w:r w:rsidRPr="0081375C">
        <w:rPr>
          <w:rFonts w:ascii="Arial" w:eastAsia="Arial" w:hAnsi="Arial" w:cs="Arial"/>
          <w:color w:val="000000" w:themeColor="text1"/>
        </w:rPr>
        <w:t xml:space="preserve">El equipo técnico puede decidir incorporar la cuenca abastecedora como un segundo </w:t>
      </w:r>
      <w:r w:rsidR="0F30C40C" w:rsidRPr="0081375C">
        <w:rPr>
          <w:rFonts w:ascii="Arial" w:eastAsia="Arial" w:hAnsi="Arial" w:cs="Arial"/>
          <w:color w:val="000000" w:themeColor="text1"/>
        </w:rPr>
        <w:t>n</w:t>
      </w:r>
      <w:r w:rsidRPr="0081375C">
        <w:rPr>
          <w:rFonts w:ascii="Arial" w:eastAsia="Arial" w:hAnsi="Arial" w:cs="Arial"/>
          <w:color w:val="000000" w:themeColor="text1"/>
        </w:rPr>
        <w:t>ivel de ordenamiento, usando el Índice de Uso del Agua (IUA) del POMCA Río Aburrá. En ese caso, las cuencas se clasifican de mayor a menor IUA y los predios se atienden comenzando por los de la cuenca con mayor presión hídrica: se agotan los predios de esa cuenca siguiendo el orden de priorización predial antes de pasar a la siguiente. Esta modalidad combinada no modifica los puntajes individuales ni la categorización; solo altera el orden de atención entre categorías cuando hay predios de distintas cuencas.</w:t>
      </w:r>
    </w:p>
    <w:p w14:paraId="43DFFF70" w14:textId="77777777" w:rsidR="003F59F8" w:rsidRPr="0081375C" w:rsidRDefault="003F59F8" w:rsidP="003F6B53">
      <w:pPr>
        <w:spacing w:line="23" w:lineRule="atLeast"/>
        <w:jc w:val="both"/>
        <w:rPr>
          <w:rFonts w:ascii="Arial" w:eastAsia="Arial" w:hAnsi="Arial" w:cs="Arial"/>
          <w:color w:val="000000" w:themeColor="text1"/>
        </w:rPr>
      </w:pPr>
    </w:p>
    <w:p w14:paraId="074256D9" w14:textId="3288C450"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decisión de aplicar priorización combinada debe tomarse antes de ejecutar la puntuación, quedar documentada con su justificación y mantenerse fija durante todo el ciclo. Una vez adoptada, no se cambia a mitad del proceso.</w:t>
      </w:r>
    </w:p>
    <w:p w14:paraId="226F8AFA" w14:textId="77777777" w:rsidR="000274C9" w:rsidRPr="0081375C" w:rsidRDefault="000274C9" w:rsidP="003F6B53">
      <w:pPr>
        <w:spacing w:line="23" w:lineRule="atLeast"/>
        <w:jc w:val="both"/>
        <w:rPr>
          <w:rFonts w:ascii="Arial" w:eastAsia="Arial" w:hAnsi="Arial" w:cs="Arial"/>
          <w:color w:val="000000" w:themeColor="text1"/>
        </w:rPr>
      </w:pPr>
    </w:p>
    <w:p w14:paraId="170A8226" w14:textId="31605800" w:rsidR="00825D4D" w:rsidRPr="0081375C" w:rsidRDefault="00806784" w:rsidP="00C92AE1">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Listado </w:t>
      </w:r>
      <w:r w:rsidR="00155BCC" w:rsidRPr="0081375C">
        <w:rPr>
          <w:rFonts w:ascii="Arial" w:eastAsia="Aptos" w:hAnsi="Arial" w:cs="Arial"/>
          <w:b/>
          <w:bCs/>
          <w:color w:val="000000" w:themeColor="text1"/>
        </w:rPr>
        <w:t>F</w:t>
      </w:r>
      <w:r w:rsidRPr="0081375C">
        <w:rPr>
          <w:rFonts w:ascii="Arial" w:eastAsia="Aptos" w:hAnsi="Arial" w:cs="Arial"/>
          <w:b/>
          <w:bCs/>
          <w:color w:val="000000" w:themeColor="text1"/>
        </w:rPr>
        <w:t>inal</w:t>
      </w:r>
    </w:p>
    <w:p w14:paraId="49729538" w14:textId="77777777" w:rsidR="000274C9" w:rsidRPr="0081375C" w:rsidRDefault="000274C9" w:rsidP="000274C9">
      <w:pPr>
        <w:rPr>
          <w:rFonts w:ascii="Arial" w:hAnsi="Arial" w:cs="Arial"/>
        </w:rPr>
      </w:pPr>
    </w:p>
    <w:p w14:paraId="3605C32E" w14:textId="0C5758D0"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resultado de la priorización es un listado de predios elegibles ordenado por categoría, por puntaje dentro de cada categoría, y por D1 y D2 donde hubo empates. El listado incluye para cada predio el CBML, el puntaje total, la categoría asignada, los valores D1 y D2 y la posición final dentro de su categoría. Este listado es el insumo que activa la apertura de convocatoria y la divulgación del esquema, y los empates no resueltos se transfieren formalmente a la evaluación técnica.</w:t>
      </w:r>
    </w:p>
    <w:p w14:paraId="051D1517" w14:textId="77777777" w:rsidR="000274C9" w:rsidRPr="0081375C" w:rsidRDefault="000274C9" w:rsidP="003F6B53">
      <w:pPr>
        <w:spacing w:line="23" w:lineRule="atLeast"/>
        <w:jc w:val="both"/>
        <w:rPr>
          <w:rFonts w:ascii="Arial" w:hAnsi="Arial" w:cs="Arial"/>
          <w:color w:val="000000" w:themeColor="text1"/>
        </w:rPr>
      </w:pPr>
    </w:p>
    <w:p w14:paraId="161D9A80"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Se produce adicionalmente un registro de predios excluidos con la justificación de exclusión por predio, y una nota sobre la modalidad de priorización aplicada. Si alguna capa derivada no pudo construirse por falta de datos, el equipo técnico debe documentar qué criterio queda sin calcular y evaluar si el análisis puede continuar con los criterios disponibles o si debe suspenderse hasta completar la información faltante.</w:t>
      </w:r>
    </w:p>
    <w:p w14:paraId="7B381E0F" w14:textId="77777777" w:rsidR="000274C9" w:rsidRPr="0081375C" w:rsidRDefault="000274C9" w:rsidP="003F6B53">
      <w:pPr>
        <w:spacing w:line="23" w:lineRule="atLeast"/>
        <w:jc w:val="both"/>
        <w:rPr>
          <w:rFonts w:ascii="Arial" w:hAnsi="Arial" w:cs="Arial"/>
          <w:color w:val="000000" w:themeColor="text1"/>
        </w:rPr>
      </w:pPr>
    </w:p>
    <w:p w14:paraId="08BCCB5D"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Todas las capas SIG base y derivadas utilizadas en el ciclo deben archivarse con fecha de versión, fuente y responsable de construcción, como parte del expediente técnico del proyecto. El equipo técnico debe documentar además cualquier inconsistencia detectada en las capas base (datos faltantes, discrepancias entre fuentes, cobertura espacial incompleta) y trasladarla a la Subsecretaría correspondiente para su corrección en ciclos posteriores.</w:t>
      </w:r>
    </w:p>
    <w:p w14:paraId="40FA781B" w14:textId="77777777" w:rsidR="000274C9" w:rsidRPr="0081375C" w:rsidRDefault="000274C9" w:rsidP="003F6B53">
      <w:pPr>
        <w:spacing w:line="23" w:lineRule="atLeast"/>
        <w:jc w:val="both"/>
        <w:rPr>
          <w:rFonts w:ascii="Arial" w:hAnsi="Arial" w:cs="Arial"/>
          <w:color w:val="000000" w:themeColor="text1"/>
        </w:rPr>
      </w:pPr>
    </w:p>
    <w:p w14:paraId="1A7AFCBD" w14:textId="20B10CBC" w:rsidR="00825D4D" w:rsidRPr="0081375C" w:rsidRDefault="00806784" w:rsidP="00C92AE1">
      <w:pPr>
        <w:spacing w:line="23" w:lineRule="atLeast"/>
        <w:jc w:val="both"/>
        <w:rPr>
          <w:rFonts w:ascii="Arial" w:eastAsia="Aptos" w:hAnsi="Arial" w:cs="Arial"/>
          <w:b/>
          <w:bCs/>
          <w:color w:val="000000" w:themeColor="text1"/>
        </w:rPr>
      </w:pPr>
      <w:r w:rsidRPr="0081375C">
        <w:rPr>
          <w:rFonts w:ascii="Arial" w:eastAsia="Aptos" w:hAnsi="Arial" w:cs="Arial"/>
          <w:b/>
          <w:bCs/>
          <w:color w:val="000000" w:themeColor="text1"/>
        </w:rPr>
        <w:t xml:space="preserve">Salvedades y </w:t>
      </w:r>
      <w:r w:rsidR="00155BCC" w:rsidRPr="0081375C">
        <w:rPr>
          <w:rFonts w:ascii="Arial" w:eastAsia="Aptos" w:hAnsi="Arial" w:cs="Arial"/>
          <w:b/>
          <w:bCs/>
          <w:color w:val="000000" w:themeColor="text1"/>
        </w:rPr>
        <w:t>A</w:t>
      </w:r>
      <w:r w:rsidRPr="0081375C">
        <w:rPr>
          <w:rFonts w:ascii="Arial" w:eastAsia="Aptos" w:hAnsi="Arial" w:cs="Arial"/>
          <w:b/>
          <w:bCs/>
          <w:color w:val="000000" w:themeColor="text1"/>
        </w:rPr>
        <w:t xml:space="preserve">notaciones </w:t>
      </w:r>
      <w:r w:rsidR="00155BCC" w:rsidRPr="0081375C">
        <w:rPr>
          <w:rFonts w:ascii="Arial" w:eastAsia="Aptos" w:hAnsi="Arial" w:cs="Arial"/>
          <w:b/>
          <w:bCs/>
          <w:color w:val="000000" w:themeColor="text1"/>
        </w:rPr>
        <w:t>S</w:t>
      </w:r>
      <w:r w:rsidRPr="0081375C">
        <w:rPr>
          <w:rFonts w:ascii="Arial" w:eastAsia="Aptos" w:hAnsi="Arial" w:cs="Arial"/>
          <w:b/>
          <w:bCs/>
          <w:color w:val="000000" w:themeColor="text1"/>
        </w:rPr>
        <w:t xml:space="preserve">obre la </w:t>
      </w:r>
      <w:r w:rsidR="00155BCC" w:rsidRPr="0081375C">
        <w:rPr>
          <w:rFonts w:ascii="Arial" w:eastAsia="Aptos" w:hAnsi="Arial" w:cs="Arial"/>
          <w:b/>
          <w:bCs/>
          <w:color w:val="000000" w:themeColor="text1"/>
        </w:rPr>
        <w:t>P</w:t>
      </w:r>
      <w:r w:rsidRPr="0081375C">
        <w:rPr>
          <w:rFonts w:ascii="Arial" w:eastAsia="Aptos" w:hAnsi="Arial" w:cs="Arial"/>
          <w:b/>
          <w:bCs/>
          <w:color w:val="000000" w:themeColor="text1"/>
        </w:rPr>
        <w:t>untuación</w:t>
      </w:r>
    </w:p>
    <w:p w14:paraId="6698DCBB" w14:textId="77777777" w:rsidR="000274C9" w:rsidRPr="0081375C" w:rsidRDefault="000274C9" w:rsidP="000274C9">
      <w:pPr>
        <w:rPr>
          <w:rFonts w:ascii="Arial" w:hAnsi="Arial" w:cs="Arial"/>
        </w:rPr>
      </w:pPr>
    </w:p>
    <w:p w14:paraId="27D3BD36" w14:textId="6B93A8F5"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aplicación del Criterio C1 está condicionada por la completitud del dato de suscriptores por acueducto, que no cubre todas las cuencas del ecosistema estratégico. Para las cuencas sin dato, C1 no puede calcularse y la comparabilidad de la puntuación entre cuencas queda afectada. Los predios ubicados en cuencas sin dato deben ser identificados explícitamente en el listado final y su puntaje total reportado con la salvedad correspondiente.</w:t>
      </w:r>
    </w:p>
    <w:p w14:paraId="16B39AEC" w14:textId="77777777" w:rsidR="000274C9" w:rsidRPr="0081375C" w:rsidRDefault="000274C9" w:rsidP="003F6B53">
      <w:pPr>
        <w:spacing w:line="23" w:lineRule="atLeast"/>
        <w:jc w:val="both"/>
        <w:rPr>
          <w:rFonts w:ascii="Arial" w:eastAsia="Arial" w:hAnsi="Arial" w:cs="Arial"/>
          <w:color w:val="000000" w:themeColor="text1"/>
        </w:rPr>
      </w:pPr>
    </w:p>
    <w:p w14:paraId="010E89E7"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modalidad combinada con cuenca abastecedora depende del Índice de Uso del Agua publicado en el POMCA Río Aburrá. Las actualizaciones del POMCA no son controladas por el esquema PSA y pueden alterar el ordenamiento entre ciclos sin que cambie la condición de los predios. El equipo técnico debe verificar la versión vigente del IUA al inicio de cada ciclo y registrar la versión utilizada como parte de la documentación de la priorización.</w:t>
      </w:r>
    </w:p>
    <w:p w14:paraId="732DF91A" w14:textId="77777777" w:rsidR="000274C9" w:rsidRPr="0081375C" w:rsidRDefault="000274C9" w:rsidP="003F6B53">
      <w:pPr>
        <w:spacing w:line="23" w:lineRule="atLeast"/>
        <w:jc w:val="both"/>
        <w:rPr>
          <w:rFonts w:ascii="Arial" w:eastAsia="Arial" w:hAnsi="Arial" w:cs="Arial"/>
          <w:color w:val="000000" w:themeColor="text1"/>
        </w:rPr>
      </w:pPr>
    </w:p>
    <w:p w14:paraId="02BD6168" w14:textId="77777777" w:rsidR="00C06090" w:rsidRPr="0081375C" w:rsidRDefault="00C06090" w:rsidP="003F6B53">
      <w:pPr>
        <w:spacing w:line="23" w:lineRule="atLeast"/>
        <w:jc w:val="both"/>
        <w:rPr>
          <w:rFonts w:ascii="Arial" w:eastAsia="Aptos" w:hAnsi="Arial" w:cs="Arial"/>
          <w:color w:val="000000" w:themeColor="text1"/>
        </w:rPr>
      </w:pPr>
    </w:p>
    <w:p w14:paraId="7F4418CF" w14:textId="28A039EA" w:rsidR="00825D4D" w:rsidRPr="0081375C" w:rsidRDefault="00825D4D" w:rsidP="0070084E">
      <w:pPr>
        <w:pStyle w:val="Ttulo3"/>
        <w:numPr>
          <w:ilvl w:val="2"/>
          <w:numId w:val="27"/>
        </w:numPr>
        <w:spacing w:beforeAutospacing="0" w:afterAutospacing="0" w:line="23" w:lineRule="atLeast"/>
        <w:rPr>
          <w:color w:val="000000" w:themeColor="text1"/>
          <w:lang w:val="es-CO"/>
        </w:rPr>
      </w:pPr>
      <w:bookmarkStart w:id="52" w:name="_Toc232154413"/>
      <w:bookmarkStart w:id="53" w:name="_Toc233304174"/>
      <w:r w:rsidRPr="0081375C">
        <w:rPr>
          <w:color w:val="000000" w:themeColor="text1"/>
          <w:lang w:val="es-CO"/>
        </w:rPr>
        <w:t>Convocatoria</w:t>
      </w:r>
      <w:bookmarkEnd w:id="52"/>
      <w:bookmarkEnd w:id="53"/>
    </w:p>
    <w:p w14:paraId="7B313E4A" w14:textId="77777777" w:rsidR="00C06090" w:rsidRPr="0081375C" w:rsidRDefault="00C06090" w:rsidP="00C06090">
      <w:pPr>
        <w:rPr>
          <w:rFonts w:ascii="Arial" w:hAnsi="Arial" w:cs="Arial"/>
        </w:rPr>
      </w:pPr>
    </w:p>
    <w:p w14:paraId="1C68D135" w14:textId="1394FF45"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convocatoria pone el esquema en contacto con los potenciales participantes y regula el acceso formal al incentivo. Comprende tres actividades: </w:t>
      </w:r>
    </w:p>
    <w:p w14:paraId="61501314" w14:textId="77777777" w:rsidR="00C06090" w:rsidRPr="0081375C" w:rsidRDefault="00C06090" w:rsidP="003F6B53">
      <w:pPr>
        <w:spacing w:line="23" w:lineRule="atLeast"/>
        <w:jc w:val="both"/>
        <w:rPr>
          <w:rFonts w:ascii="Arial" w:eastAsia="Arial" w:hAnsi="Arial" w:cs="Arial"/>
          <w:color w:val="000000" w:themeColor="text1"/>
        </w:rPr>
      </w:pPr>
    </w:p>
    <w:p w14:paraId="7C2E8DD4" w14:textId="572480C0" w:rsidR="00825D4D" w:rsidRPr="0081375C" w:rsidRDefault="00806784" w:rsidP="003F6B53">
      <w:pPr>
        <w:pStyle w:val="Prrafodelista"/>
        <w:numPr>
          <w:ilvl w:val="0"/>
          <w:numId w:val="4"/>
        </w:numPr>
        <w:spacing w:line="23" w:lineRule="atLeast"/>
        <w:contextualSpacing w:val="0"/>
        <w:jc w:val="both"/>
        <w:rPr>
          <w:rFonts w:ascii="Arial" w:hAnsi="Arial" w:cs="Arial"/>
          <w:color w:val="000000" w:themeColor="text1"/>
        </w:rPr>
      </w:pPr>
      <w:r w:rsidRPr="0081375C">
        <w:rPr>
          <w:rFonts w:ascii="Arial" w:eastAsia="Arial" w:hAnsi="Arial" w:cs="Arial"/>
          <w:color w:val="000000" w:themeColor="text1"/>
        </w:rPr>
        <w:t>Apertura de la convocatoria con su cronograma, que formaliza el llamado y establece las condiciones de participación</w:t>
      </w:r>
      <w:r w:rsidR="00C06090" w:rsidRPr="0081375C">
        <w:rPr>
          <w:rFonts w:ascii="Arial" w:eastAsia="Arial" w:hAnsi="Arial" w:cs="Arial"/>
          <w:color w:val="000000" w:themeColor="text1"/>
        </w:rPr>
        <w:t>.</w:t>
      </w:r>
    </w:p>
    <w:p w14:paraId="04E23715" w14:textId="77777777" w:rsidR="00C06090" w:rsidRPr="0081375C" w:rsidRDefault="00C06090" w:rsidP="00C06090">
      <w:pPr>
        <w:pStyle w:val="Prrafodelista"/>
        <w:spacing w:line="23" w:lineRule="atLeast"/>
        <w:contextualSpacing w:val="0"/>
        <w:jc w:val="both"/>
        <w:rPr>
          <w:rFonts w:ascii="Arial" w:hAnsi="Arial" w:cs="Arial"/>
          <w:color w:val="000000" w:themeColor="text1"/>
        </w:rPr>
      </w:pPr>
    </w:p>
    <w:p w14:paraId="21040B55" w14:textId="1E25C18D" w:rsidR="00825D4D" w:rsidRPr="0081375C" w:rsidRDefault="00806784" w:rsidP="003F6B53">
      <w:pPr>
        <w:pStyle w:val="Prrafodelista"/>
        <w:numPr>
          <w:ilvl w:val="0"/>
          <w:numId w:val="4"/>
        </w:numPr>
        <w:spacing w:line="23" w:lineRule="atLeast"/>
        <w:contextualSpacing w:val="0"/>
        <w:jc w:val="both"/>
        <w:rPr>
          <w:rFonts w:ascii="Arial" w:hAnsi="Arial" w:cs="Arial"/>
          <w:color w:val="000000" w:themeColor="text1"/>
        </w:rPr>
      </w:pPr>
      <w:r w:rsidRPr="0081375C">
        <w:rPr>
          <w:rFonts w:ascii="Arial" w:eastAsia="Arial" w:hAnsi="Arial" w:cs="Arial"/>
          <w:color w:val="000000" w:themeColor="text1"/>
        </w:rPr>
        <w:t>Divulgación del esquema, que garantiza que la información llegue a los propietarios y poseedores del área priorizada</w:t>
      </w:r>
      <w:r w:rsidR="00C06090" w:rsidRPr="0081375C">
        <w:rPr>
          <w:rFonts w:ascii="Arial" w:eastAsia="Arial" w:hAnsi="Arial" w:cs="Arial"/>
          <w:color w:val="000000" w:themeColor="text1"/>
        </w:rPr>
        <w:t>.</w:t>
      </w:r>
    </w:p>
    <w:p w14:paraId="0686CC24" w14:textId="77777777" w:rsidR="00C06090" w:rsidRPr="0081375C" w:rsidRDefault="00C06090" w:rsidP="00C06090">
      <w:pPr>
        <w:spacing w:line="23" w:lineRule="atLeast"/>
        <w:jc w:val="both"/>
        <w:rPr>
          <w:rFonts w:ascii="Arial" w:hAnsi="Arial" w:cs="Arial"/>
          <w:color w:val="000000" w:themeColor="text1"/>
        </w:rPr>
      </w:pPr>
    </w:p>
    <w:p w14:paraId="5A96A173" w14:textId="5CCC4A9A" w:rsidR="00825D4D" w:rsidRPr="0081375C" w:rsidRDefault="00825D4D" w:rsidP="003F6B53">
      <w:pPr>
        <w:pStyle w:val="Prrafodelista"/>
        <w:numPr>
          <w:ilvl w:val="0"/>
          <w:numId w:val="4"/>
        </w:numPr>
        <w:spacing w:line="23" w:lineRule="atLeast"/>
        <w:contextualSpacing w:val="0"/>
        <w:jc w:val="both"/>
        <w:rPr>
          <w:rFonts w:ascii="Arial" w:hAnsi="Arial" w:cs="Arial"/>
          <w:color w:val="000000" w:themeColor="text1"/>
        </w:rPr>
      </w:pPr>
      <w:r w:rsidRPr="0081375C">
        <w:rPr>
          <w:rFonts w:ascii="Arial" w:eastAsia="Arial" w:hAnsi="Arial" w:cs="Arial"/>
          <w:color w:val="000000" w:themeColor="text1"/>
        </w:rPr>
        <w:t>Recepción de postulaciones, que gestiona el ingreso y la verificación inicial de los documentos presentados.</w:t>
      </w:r>
    </w:p>
    <w:p w14:paraId="493B387E" w14:textId="77777777" w:rsidR="00C06090" w:rsidRPr="0081375C" w:rsidRDefault="00C06090" w:rsidP="00C06090">
      <w:pPr>
        <w:spacing w:line="23" w:lineRule="atLeast"/>
        <w:jc w:val="both"/>
        <w:rPr>
          <w:rFonts w:ascii="Arial" w:hAnsi="Arial" w:cs="Arial"/>
          <w:color w:val="000000" w:themeColor="text1"/>
        </w:rPr>
      </w:pPr>
    </w:p>
    <w:p w14:paraId="5FBC99F5" w14:textId="3BB8B6C1"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siguiente tabla describe los plazos operativos del período a partir de</w:t>
      </w:r>
      <w:r w:rsidR="40167470" w:rsidRPr="0081375C">
        <w:rPr>
          <w:rFonts w:ascii="Arial" w:eastAsia="Arial" w:hAnsi="Arial" w:cs="Arial"/>
          <w:color w:val="000000" w:themeColor="text1"/>
        </w:rPr>
        <w:t>l inicio</w:t>
      </w:r>
      <w:r w:rsidRPr="0081375C">
        <w:rPr>
          <w:rFonts w:ascii="Arial" w:eastAsia="Arial" w:hAnsi="Arial" w:cs="Arial"/>
          <w:color w:val="000000" w:themeColor="text1"/>
        </w:rPr>
        <w:t>.</w:t>
      </w:r>
    </w:p>
    <w:p w14:paraId="46E7143F" w14:textId="77777777" w:rsidR="00C06090" w:rsidRPr="0081375C" w:rsidRDefault="00C06090" w:rsidP="003F6B53">
      <w:pPr>
        <w:spacing w:line="23" w:lineRule="atLeast"/>
        <w:jc w:val="both"/>
        <w:rPr>
          <w:rFonts w:ascii="Arial" w:eastAsia="Arial" w:hAnsi="Arial" w:cs="Arial"/>
          <w:color w:val="000000" w:themeColor="text1"/>
        </w:rPr>
      </w:pPr>
    </w:p>
    <w:p w14:paraId="35BD9B49" w14:textId="77777777" w:rsidR="007710C4" w:rsidRPr="0081375C" w:rsidRDefault="007710C4" w:rsidP="003F6B53">
      <w:pPr>
        <w:spacing w:line="23" w:lineRule="atLeast"/>
        <w:jc w:val="both"/>
        <w:rPr>
          <w:rFonts w:ascii="Arial" w:eastAsia="Arial" w:hAnsi="Arial" w:cs="Arial"/>
          <w:color w:val="000000" w:themeColor="text1"/>
        </w:rPr>
      </w:pPr>
    </w:p>
    <w:p w14:paraId="0E88CB5E" w14:textId="77777777" w:rsidR="007710C4" w:rsidRPr="0081375C" w:rsidRDefault="007710C4" w:rsidP="003F6B53">
      <w:pPr>
        <w:spacing w:line="23" w:lineRule="atLeast"/>
        <w:jc w:val="both"/>
        <w:rPr>
          <w:rFonts w:ascii="Arial" w:eastAsia="Arial" w:hAnsi="Arial" w:cs="Arial"/>
          <w:color w:val="000000" w:themeColor="text1"/>
        </w:rPr>
      </w:pPr>
    </w:p>
    <w:p w14:paraId="62A5766A" w14:textId="77777777" w:rsidR="007710C4" w:rsidRPr="0081375C" w:rsidRDefault="007710C4" w:rsidP="003F6B53">
      <w:pPr>
        <w:spacing w:line="23" w:lineRule="atLeast"/>
        <w:jc w:val="both"/>
        <w:rPr>
          <w:rFonts w:ascii="Arial" w:eastAsia="Arial" w:hAnsi="Arial" w:cs="Arial"/>
          <w:color w:val="000000" w:themeColor="text1"/>
        </w:rPr>
      </w:pPr>
    </w:p>
    <w:p w14:paraId="69F8DA36" w14:textId="7D4C37BB" w:rsidR="00825D4D" w:rsidRPr="0081375C" w:rsidRDefault="00806784" w:rsidP="003F6B53">
      <w:pPr>
        <w:spacing w:line="23" w:lineRule="atLeast"/>
        <w:jc w:val="both"/>
        <w:rPr>
          <w:rFonts w:ascii="Arial" w:hAnsi="Arial" w:cs="Arial"/>
          <w:b/>
          <w:bCs/>
          <w:color w:val="000000" w:themeColor="text1"/>
          <w:sz w:val="20"/>
          <w:szCs w:val="20"/>
        </w:rPr>
      </w:pPr>
      <w:bookmarkStart w:id="54" w:name="_Toc233040668"/>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20</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Plazos operativos </w:t>
      </w:r>
      <w:r w:rsidR="6A725D56" w:rsidRPr="0081375C">
        <w:rPr>
          <w:rFonts w:ascii="Arial" w:hAnsi="Arial" w:cs="Arial"/>
          <w:b/>
          <w:bCs/>
          <w:color w:val="000000" w:themeColor="text1"/>
          <w:sz w:val="20"/>
          <w:szCs w:val="20"/>
        </w:rPr>
        <w:t>de la convocatoria de PSA</w:t>
      </w:r>
      <w:bookmarkEnd w:id="54"/>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2689"/>
        <w:gridCol w:w="2551"/>
        <w:gridCol w:w="3396"/>
      </w:tblGrid>
      <w:tr w:rsidR="00825D4D" w:rsidRPr="0081375C" w14:paraId="6E6548CF" w14:textId="77777777" w:rsidTr="00BF2122">
        <w:trPr>
          <w:trHeight w:val="20"/>
          <w:tblHeader/>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83C90"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Hito</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805DB"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Referencia temporal</w:t>
            </w:r>
          </w:p>
        </w:tc>
        <w:tc>
          <w:tcPr>
            <w:tcW w:w="33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25561B"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Descripción</w:t>
            </w:r>
          </w:p>
        </w:tc>
      </w:tr>
      <w:tr w:rsidR="00825D4D" w:rsidRPr="0081375C" w14:paraId="080EA6EE" w14:textId="77777777" w:rsidTr="00BF2122">
        <w:trPr>
          <w:trHeight w:val="2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921ED" w14:textId="77777777" w:rsidR="00825D4D" w:rsidRPr="0081375C" w:rsidRDefault="00806784" w:rsidP="00A505C9">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Comunicado de apertura de la convocatoria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74C2C" w14:textId="078FBE60" w:rsidR="00825D4D" w:rsidRPr="0081375C" w:rsidRDefault="322A2920" w:rsidP="00A505C9">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Inicio del plazo de postulación</w:t>
            </w:r>
          </w:p>
        </w:tc>
        <w:tc>
          <w:tcPr>
            <w:tcW w:w="33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23457"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Apertura oficial del período de convocatoria</w:t>
            </w:r>
          </w:p>
        </w:tc>
      </w:tr>
      <w:tr w:rsidR="00825D4D" w:rsidRPr="0081375C" w14:paraId="4136E2A0" w14:textId="77777777" w:rsidTr="00BF2122">
        <w:trPr>
          <w:trHeight w:val="2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26AA37"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Período de divulgación y postulación</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CCAD6" w14:textId="3C786CED" w:rsidR="00825D4D" w:rsidRPr="0081375C" w:rsidRDefault="00806784" w:rsidP="00A505C9">
            <w:pPr>
              <w:spacing w:line="23" w:lineRule="atLeast"/>
              <w:jc w:val="center"/>
            </w:pPr>
            <w:r w:rsidRPr="0081375C">
              <w:rPr>
                <w:rFonts w:ascii="Arial" w:eastAsia="Arial" w:hAnsi="Arial" w:cs="Arial"/>
                <w:color w:val="000000" w:themeColor="text1"/>
                <w:sz w:val="20"/>
                <w:szCs w:val="20"/>
              </w:rPr>
              <w:t>20 días hábiles</w:t>
            </w:r>
          </w:p>
        </w:tc>
        <w:tc>
          <w:tcPr>
            <w:tcW w:w="33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E38D4"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Ventana dentro de la cual se realiza divulgación y postulación de participantes.</w:t>
            </w:r>
          </w:p>
        </w:tc>
      </w:tr>
      <w:tr w:rsidR="00825D4D" w:rsidRPr="0081375C" w14:paraId="4EC5AEBB" w14:textId="77777777" w:rsidTr="00BF2122">
        <w:trPr>
          <w:trHeight w:val="2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A0E425"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Cierre de postulaciones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D5F58" w14:textId="5219D658" w:rsidR="00825D4D" w:rsidRPr="0081375C" w:rsidRDefault="007710C4" w:rsidP="00A505C9">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Día 20, </w:t>
            </w:r>
            <w:r w:rsidR="009036E5" w:rsidRPr="0081375C">
              <w:rPr>
                <w:rFonts w:ascii="Arial" w:eastAsia="Arial" w:hAnsi="Arial" w:cs="Arial"/>
                <w:color w:val="000000" w:themeColor="text1"/>
                <w:sz w:val="20"/>
                <w:szCs w:val="20"/>
              </w:rPr>
              <w:t>establecido en el comunicado</w:t>
            </w:r>
          </w:p>
        </w:tc>
        <w:tc>
          <w:tcPr>
            <w:tcW w:w="33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1F8F34" w14:textId="77777777" w:rsidR="00825D4D" w:rsidRPr="0081375C" w:rsidRDefault="00806784" w:rsidP="00A505C9">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Ninguna postulación recibida después de esta fecha tiene efecto procedimental</w:t>
            </w:r>
          </w:p>
        </w:tc>
      </w:tr>
    </w:tbl>
    <w:p w14:paraId="236AA509" w14:textId="77777777" w:rsidR="00C06090" w:rsidRPr="0081375C" w:rsidRDefault="00C06090" w:rsidP="00C06090">
      <w:pPr>
        <w:rPr>
          <w:rFonts w:ascii="Arial" w:hAnsi="Arial" w:cs="Arial"/>
        </w:rPr>
      </w:pPr>
    </w:p>
    <w:p w14:paraId="29F3BA22" w14:textId="3FC55B1E" w:rsidR="00825D4D" w:rsidRPr="0081375C" w:rsidRDefault="00806784" w:rsidP="0070084E">
      <w:pPr>
        <w:pStyle w:val="Ttulo4"/>
        <w:numPr>
          <w:ilvl w:val="3"/>
          <w:numId w:val="27"/>
        </w:numPr>
        <w:spacing w:before="0" w:after="0" w:line="23" w:lineRule="atLeast"/>
        <w:rPr>
          <w:rFonts w:cs="Arial"/>
          <w:color w:val="000000" w:themeColor="text1"/>
        </w:rPr>
      </w:pPr>
      <w:bookmarkStart w:id="55" w:name="_Toc233304175"/>
      <w:r w:rsidRPr="0081375C">
        <w:rPr>
          <w:rFonts w:eastAsia="Aptos" w:cs="Arial"/>
          <w:bCs/>
          <w:color w:val="000000" w:themeColor="text1"/>
        </w:rPr>
        <w:t xml:space="preserve">Apertura de </w:t>
      </w:r>
      <w:r w:rsidR="00E04871" w:rsidRPr="0081375C">
        <w:rPr>
          <w:rFonts w:eastAsia="Aptos" w:cs="Arial"/>
          <w:bCs/>
          <w:color w:val="000000" w:themeColor="text1"/>
        </w:rPr>
        <w:t>C</w:t>
      </w:r>
      <w:r w:rsidRPr="0081375C">
        <w:rPr>
          <w:rFonts w:eastAsia="Aptos" w:cs="Arial"/>
          <w:bCs/>
          <w:color w:val="000000" w:themeColor="text1"/>
        </w:rPr>
        <w:t xml:space="preserve">onvocatoria y </w:t>
      </w:r>
      <w:r w:rsidR="00E04871" w:rsidRPr="0081375C">
        <w:rPr>
          <w:rFonts w:eastAsia="Aptos" w:cs="Arial"/>
          <w:bCs/>
          <w:color w:val="000000" w:themeColor="text1"/>
        </w:rPr>
        <w:t>C</w:t>
      </w:r>
      <w:r w:rsidRPr="0081375C">
        <w:rPr>
          <w:rFonts w:eastAsia="Aptos" w:cs="Arial"/>
          <w:bCs/>
          <w:color w:val="000000" w:themeColor="text1"/>
        </w:rPr>
        <w:t>ronograma</w:t>
      </w:r>
      <w:bookmarkEnd w:id="55"/>
    </w:p>
    <w:p w14:paraId="2E9D6BC3" w14:textId="77777777" w:rsidR="00C06090" w:rsidRPr="0081375C" w:rsidRDefault="00C06090" w:rsidP="00C06090">
      <w:pPr>
        <w:rPr>
          <w:rFonts w:ascii="Arial" w:hAnsi="Arial" w:cs="Arial"/>
        </w:rPr>
      </w:pPr>
    </w:p>
    <w:p w14:paraId="3F73B1A6" w14:textId="703DA0EE"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La apertura de convocatoria formaliza el inicio del período en el que los propietarios, poseedores y ocupantes de predios en el área seleccionada del ecosistema estratégico pueden postularse a una modalidad de PSA. Se debe considerar que pueden ocurrir convocatorias simult</w:t>
      </w:r>
      <w:r w:rsidR="00BE672E" w:rsidRPr="0081375C">
        <w:rPr>
          <w:rFonts w:ascii="Arial" w:eastAsia="Aptos" w:hAnsi="Arial" w:cs="Arial"/>
          <w:color w:val="000000" w:themeColor="text1"/>
        </w:rPr>
        <w:t>á</w:t>
      </w:r>
      <w:r w:rsidRPr="0081375C">
        <w:rPr>
          <w:rFonts w:ascii="Arial" w:eastAsia="Aptos" w:hAnsi="Arial" w:cs="Arial"/>
          <w:color w:val="000000" w:themeColor="text1"/>
        </w:rPr>
        <w:t xml:space="preserve">neas en las diferentes modalidades de PSA. </w:t>
      </w:r>
    </w:p>
    <w:p w14:paraId="71C77A00" w14:textId="77777777" w:rsidR="00C06090" w:rsidRPr="0081375C" w:rsidRDefault="00C06090" w:rsidP="003F6B53">
      <w:pPr>
        <w:spacing w:line="23" w:lineRule="atLeast"/>
        <w:jc w:val="both"/>
        <w:rPr>
          <w:rFonts w:ascii="Arial" w:eastAsia="Aptos" w:hAnsi="Arial" w:cs="Arial"/>
          <w:color w:val="000000" w:themeColor="text1"/>
        </w:rPr>
      </w:pPr>
    </w:p>
    <w:p w14:paraId="5A7038ED"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El presupuesto disponible para el incentivo determina el alcance territorial de la convocatoria. Debe estar confirmado y disponible para consulta antes de elaborar la propuesta; sin ese dato, el cronograma y las áreas elegibles que se comuniquen pueden no ser ejecutables.</w:t>
      </w:r>
    </w:p>
    <w:p w14:paraId="7C4234DC" w14:textId="77777777" w:rsidR="00C06090" w:rsidRPr="0081375C" w:rsidRDefault="00C06090" w:rsidP="003F6B53">
      <w:pPr>
        <w:spacing w:line="23" w:lineRule="atLeast"/>
        <w:jc w:val="both"/>
        <w:rPr>
          <w:rFonts w:ascii="Arial" w:eastAsia="Aptos" w:hAnsi="Arial" w:cs="Arial"/>
          <w:color w:val="000000" w:themeColor="text1"/>
        </w:rPr>
      </w:pPr>
    </w:p>
    <w:p w14:paraId="4CBF8CF6" w14:textId="1DCA3E63"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El instrumento de notificación de la apertura de la convocatoria en cada modalidad de PSA es el comunicado oficial, correspondiente a un boletín o comunicado de prensa, en el cual se debe estipular el plazo mínimo de 20 días hábiles para el período de divulgación y postulación, y los requisitos técnicos y documentales de participación, como mínimo debe contener: el polígono de implementación del esquema en la modalidad de PSA, el cronograma y los requisitos de postulación. Sin ese instrumento, ninguna actividad de convocatoria tiene respaldo institucional. </w:t>
      </w:r>
    </w:p>
    <w:p w14:paraId="09DF6A35" w14:textId="77777777" w:rsidR="00C06090" w:rsidRPr="0081375C" w:rsidRDefault="00C06090" w:rsidP="003F6B53">
      <w:pPr>
        <w:spacing w:line="23" w:lineRule="atLeast"/>
        <w:jc w:val="both"/>
        <w:rPr>
          <w:rFonts w:ascii="Arial" w:eastAsia="Aptos" w:hAnsi="Arial" w:cs="Arial"/>
          <w:color w:val="000000" w:themeColor="text1"/>
        </w:rPr>
      </w:pPr>
    </w:p>
    <w:p w14:paraId="0150C46D" w14:textId="2814A684"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esta etapa. la Secretaría de Medio Ambiente del Distrito de Medellín, por cada modalidad de PSA, deberá aprobar el plan de convocatoria, donde se indiquen las estrategias comunicativas para la divulgación, cronograma de socialización, postulación y priorización de los predios potenciales que podrían participar.</w:t>
      </w:r>
    </w:p>
    <w:p w14:paraId="482E56CE" w14:textId="77777777" w:rsidR="00C06090" w:rsidRPr="0081375C" w:rsidRDefault="00C06090" w:rsidP="003F6B53">
      <w:pPr>
        <w:spacing w:line="23" w:lineRule="atLeast"/>
        <w:jc w:val="both"/>
        <w:rPr>
          <w:rFonts w:ascii="Arial" w:eastAsia="Aptos" w:hAnsi="Arial" w:cs="Arial"/>
          <w:color w:val="000000" w:themeColor="text1"/>
        </w:rPr>
      </w:pPr>
    </w:p>
    <w:p w14:paraId="3019D47B" w14:textId="30221E64" w:rsidR="00825D4D" w:rsidRPr="0081375C" w:rsidRDefault="00825D4D" w:rsidP="0070084E">
      <w:pPr>
        <w:pStyle w:val="Ttulo4"/>
        <w:numPr>
          <w:ilvl w:val="3"/>
          <w:numId w:val="27"/>
        </w:numPr>
        <w:spacing w:before="0" w:after="0" w:line="23" w:lineRule="atLeast"/>
        <w:rPr>
          <w:rFonts w:eastAsia="Aptos" w:cs="Arial"/>
          <w:bCs/>
          <w:color w:val="000000" w:themeColor="text1"/>
        </w:rPr>
      </w:pPr>
      <w:bookmarkStart w:id="56" w:name="_Toc233304176"/>
      <w:r w:rsidRPr="0081375C">
        <w:rPr>
          <w:rFonts w:eastAsia="Aptos" w:cs="Arial"/>
          <w:bCs/>
          <w:color w:val="000000" w:themeColor="text1"/>
        </w:rPr>
        <w:t xml:space="preserve">Divulgación del </w:t>
      </w:r>
      <w:r w:rsidR="00E04871" w:rsidRPr="0081375C">
        <w:rPr>
          <w:rFonts w:eastAsia="Aptos" w:cs="Arial"/>
          <w:bCs/>
          <w:color w:val="000000" w:themeColor="text1"/>
        </w:rPr>
        <w:t>E</w:t>
      </w:r>
      <w:r w:rsidRPr="0081375C">
        <w:rPr>
          <w:rFonts w:eastAsia="Aptos" w:cs="Arial"/>
          <w:bCs/>
          <w:color w:val="000000" w:themeColor="text1"/>
        </w:rPr>
        <w:t>squema</w:t>
      </w:r>
      <w:bookmarkEnd w:id="56"/>
    </w:p>
    <w:p w14:paraId="04CD6A4A" w14:textId="77777777" w:rsidR="00C06090" w:rsidRPr="0081375C" w:rsidRDefault="00C06090" w:rsidP="00C06090">
      <w:pPr>
        <w:rPr>
          <w:rFonts w:ascii="Arial" w:hAnsi="Arial" w:cs="Arial"/>
        </w:rPr>
      </w:pPr>
    </w:p>
    <w:p w14:paraId="69F93016"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La divulgación garantiza que los propietarios, poseedores y ocupantes de predios en el área elegible conozcan la convocatoria, sus condiciones y sus plazos dentro del período de 20 días hábiles. Opera en paralelo con la recepción de postulaciones durante toda la ventana de convocatoria.</w:t>
      </w:r>
    </w:p>
    <w:p w14:paraId="17B6A36F" w14:textId="77777777" w:rsidR="00825D4D" w:rsidRPr="0081375C" w:rsidRDefault="00825D4D" w:rsidP="003F6B53">
      <w:pPr>
        <w:spacing w:line="23" w:lineRule="atLeast"/>
        <w:jc w:val="both"/>
        <w:rPr>
          <w:rFonts w:ascii="Arial" w:eastAsia="Aptos" w:hAnsi="Arial" w:cs="Arial"/>
          <w:color w:val="000000" w:themeColor="text1"/>
        </w:rPr>
      </w:pPr>
    </w:p>
    <w:p w14:paraId="62A6F533" w14:textId="70DBD475" w:rsidR="00825D4D" w:rsidRPr="0081375C" w:rsidRDefault="00825D4D"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La divulgación se ejecuta a través de dos tipos de canales. El primero es el contacto directo con los propietarios, poseedores y ocupantes de buena fe exenta de culpa de los predios elegibles: visitas puerta a puerta, llamadas telefónicas, correo electrónico y mensajería instantánea (WhatsApp), según la estrategia comunicativa aprobada.</w:t>
      </w:r>
    </w:p>
    <w:p w14:paraId="7D304CB6" w14:textId="77777777" w:rsidR="00C06090" w:rsidRPr="0081375C" w:rsidRDefault="00C06090" w:rsidP="003F6B53">
      <w:pPr>
        <w:spacing w:line="23" w:lineRule="atLeast"/>
        <w:jc w:val="both"/>
        <w:rPr>
          <w:rFonts w:ascii="Arial" w:eastAsia="Aptos" w:hAnsi="Arial" w:cs="Arial"/>
          <w:color w:val="000000" w:themeColor="text1"/>
        </w:rPr>
      </w:pPr>
    </w:p>
    <w:p w14:paraId="69AD34AB" w14:textId="34FF9140" w:rsidR="00825D4D" w:rsidRPr="0081375C" w:rsidRDefault="00806784" w:rsidP="751229EA">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Este contacto informa las fechas de apertura y cierre y los requisitos de postulación. Se da especial atención a los predios que estuvieron en ciclos anteriores del esquema, aclarando dudas y recibiendo documentación cuando manifiestan voluntad de participar.</w:t>
      </w:r>
    </w:p>
    <w:p w14:paraId="021B2759" w14:textId="43F0D157" w:rsidR="00825D4D" w:rsidRPr="0081375C" w:rsidRDefault="00825D4D" w:rsidP="751229EA">
      <w:pPr>
        <w:spacing w:line="23" w:lineRule="atLeast"/>
        <w:jc w:val="both"/>
        <w:rPr>
          <w:rFonts w:ascii="Arial" w:eastAsia="Aptos" w:hAnsi="Arial" w:cs="Arial"/>
          <w:color w:val="000000" w:themeColor="text1"/>
        </w:rPr>
      </w:pPr>
    </w:p>
    <w:p w14:paraId="3A19A282" w14:textId="6CBAB64A"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El segundo canal son los grupos de interés organizados del territorio: líderes de acueductos veredales, líderes veredales, grupos ecológicos, mesas ambientales, integrantes de juntas de acción comunal, corregidores y contactos veredales clave. Estos actores amplifican el alcance de la convocatoria hacia personas que no siempre están vinculadas a canales institucionales directos.</w:t>
      </w:r>
    </w:p>
    <w:p w14:paraId="191AE1A4" w14:textId="77777777" w:rsidR="00C06090" w:rsidRPr="0081375C" w:rsidRDefault="00C06090" w:rsidP="003F6B53">
      <w:pPr>
        <w:spacing w:line="23" w:lineRule="atLeast"/>
        <w:jc w:val="both"/>
        <w:rPr>
          <w:rFonts w:ascii="Arial" w:eastAsia="Aptos" w:hAnsi="Arial" w:cs="Arial"/>
          <w:color w:val="000000" w:themeColor="text1"/>
        </w:rPr>
      </w:pPr>
    </w:p>
    <w:p w14:paraId="047C2E2C"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paralelo se instala material físico de divulgación (afiches, plegables) en puntos de alta afluencia: sedes de juntas de acción comunal, acueductos, casas de gobierno y otros espacios estratégicos del territorio. La difusión por redes sociales y voz a voz complementa este despliegue. Si la Secretaría autoriza el uso de medios masivos (radio, televisión) al aprobar la propuesta de convocatoria en, se activan en esta etapa.</w:t>
      </w:r>
    </w:p>
    <w:p w14:paraId="6F526820" w14:textId="77777777" w:rsidR="00C06090" w:rsidRPr="0081375C" w:rsidRDefault="00C06090" w:rsidP="003F6B53">
      <w:pPr>
        <w:spacing w:line="23" w:lineRule="atLeast"/>
        <w:jc w:val="both"/>
        <w:rPr>
          <w:rFonts w:ascii="Arial" w:eastAsia="Aptos" w:hAnsi="Arial" w:cs="Arial"/>
          <w:color w:val="000000" w:themeColor="text1"/>
        </w:rPr>
      </w:pPr>
    </w:p>
    <w:p w14:paraId="2B03F267" w14:textId="2459A749"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 xml:space="preserve">De cada actividad de divulgación se registra el contacto realizado (identificador del predio o del actor, canal utilizado, fecha), y la instalación de material físico se registra por punto. Las manifestaciones de interés serán recogidas durante el contacto directo, sin embargo, no constituyen postulación por sí mismas y no tienen efecto procedimental hasta que el solicitante radique el </w:t>
      </w:r>
      <w:r w:rsidR="00A56D0A" w:rsidRPr="0081375C">
        <w:rPr>
          <w:rFonts w:ascii="Arial" w:eastAsia="Aptos" w:hAnsi="Arial" w:cs="Arial"/>
          <w:color w:val="000000" w:themeColor="text1"/>
        </w:rPr>
        <w:t>formato de</w:t>
      </w:r>
      <w:r w:rsidRPr="0081375C">
        <w:rPr>
          <w:rFonts w:ascii="Arial" w:eastAsia="Aptos" w:hAnsi="Arial" w:cs="Arial"/>
          <w:color w:val="000000" w:themeColor="text1"/>
        </w:rPr>
        <w:t xml:space="preserve"> Solicitud de Ingreso al Esquema de Pago por Servicios Ambientales (PSA). La retroalimentación que los actores territoriales aporten sobre barreras de participación se documenta como insumo para el ajuste de la estrategia comunicativa en ciclos posteriores.</w:t>
      </w:r>
    </w:p>
    <w:p w14:paraId="6698135B" w14:textId="77777777" w:rsidR="00C06090" w:rsidRPr="0081375C" w:rsidRDefault="00C06090" w:rsidP="003F6B53">
      <w:pPr>
        <w:spacing w:line="23" w:lineRule="atLeast"/>
        <w:jc w:val="both"/>
        <w:rPr>
          <w:rFonts w:ascii="Arial" w:eastAsia="Aptos" w:hAnsi="Arial" w:cs="Arial"/>
          <w:color w:val="000000" w:themeColor="text1"/>
        </w:rPr>
      </w:pPr>
    </w:p>
    <w:p w14:paraId="60CEAC7F" w14:textId="7267F4DA"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57" w:name="_Toc233304177"/>
      <w:r w:rsidRPr="0081375C">
        <w:rPr>
          <w:rFonts w:eastAsia="Aptos" w:cs="Arial"/>
          <w:bCs/>
          <w:color w:val="000000" w:themeColor="text1"/>
        </w:rPr>
        <w:t xml:space="preserve">Recepción de </w:t>
      </w:r>
      <w:r w:rsidR="00E04871" w:rsidRPr="0081375C">
        <w:rPr>
          <w:rFonts w:eastAsia="Aptos" w:cs="Arial"/>
          <w:bCs/>
          <w:color w:val="000000" w:themeColor="text1"/>
        </w:rPr>
        <w:t>P</w:t>
      </w:r>
      <w:r w:rsidRPr="0081375C">
        <w:rPr>
          <w:rFonts w:eastAsia="Aptos" w:cs="Arial"/>
          <w:bCs/>
          <w:color w:val="000000" w:themeColor="text1"/>
        </w:rPr>
        <w:t>ostulaciones</w:t>
      </w:r>
      <w:bookmarkEnd w:id="57"/>
    </w:p>
    <w:p w14:paraId="65E8BA97" w14:textId="77777777" w:rsidR="00C06090" w:rsidRPr="0081375C" w:rsidRDefault="00C06090" w:rsidP="00C06090">
      <w:pPr>
        <w:rPr>
          <w:rFonts w:ascii="Arial" w:hAnsi="Arial" w:cs="Arial"/>
        </w:rPr>
      </w:pPr>
    </w:p>
    <w:p w14:paraId="20A6E0DE" w14:textId="381ED04C" w:rsidR="00825D4D" w:rsidRPr="0081375C" w:rsidRDefault="00806784" w:rsidP="003F6B53">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 xml:space="preserve">La recepción de postulaciones opera durante los mismos 20 días hábiles del período de convocatoria. Se efectúa de forma presencial con documentos en físico en la sede que se indique en el comunicado o de forma virtual enviando la documentación al correo </w:t>
      </w:r>
      <w:r w:rsidRPr="0081375C">
        <w:rPr>
          <w:rFonts w:ascii="Arial" w:eastAsia="Aptos" w:hAnsi="Arial" w:cs="Arial"/>
          <w:color w:val="000000" w:themeColor="text1"/>
        </w:rPr>
        <w:lastRenderedPageBreak/>
        <w:t xml:space="preserve">electrónico autorizado. Su función es constituir el universo formal de predios evaluables; solo las postulaciones radicadas dentro de la ventana y con documentación completa ingresan al proceso de evaluación. Las postulaciones recibidas fuera de </w:t>
      </w:r>
      <w:r w:rsidR="001A1A5E" w:rsidRPr="0081375C">
        <w:rPr>
          <w:rFonts w:ascii="Arial" w:eastAsia="Aptos" w:hAnsi="Arial" w:cs="Arial"/>
          <w:color w:val="000000" w:themeColor="text1"/>
        </w:rPr>
        <w:t>plazo no</w:t>
      </w:r>
      <w:r w:rsidRPr="0081375C">
        <w:rPr>
          <w:rFonts w:ascii="Arial" w:eastAsia="Aptos" w:hAnsi="Arial" w:cs="Arial"/>
          <w:color w:val="000000" w:themeColor="text1"/>
        </w:rPr>
        <w:t xml:space="preserve"> tienen efecto procedimental en ninguna actividad posterior.</w:t>
      </w:r>
    </w:p>
    <w:p w14:paraId="5A65E9F7" w14:textId="77777777" w:rsidR="00C06090" w:rsidRPr="0081375C" w:rsidRDefault="00C06090" w:rsidP="003F6B53">
      <w:pPr>
        <w:spacing w:line="23" w:lineRule="atLeast"/>
        <w:mirrorIndents/>
        <w:jc w:val="both"/>
        <w:rPr>
          <w:rFonts w:ascii="Arial" w:eastAsia="Aptos" w:hAnsi="Arial" w:cs="Arial"/>
          <w:color w:val="000000" w:themeColor="text1"/>
        </w:rPr>
      </w:pPr>
    </w:p>
    <w:p w14:paraId="476FED77" w14:textId="0FDC203C" w:rsidR="00825D4D" w:rsidRPr="0081375C" w:rsidRDefault="00806784" w:rsidP="003F6B53">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 xml:space="preserve">Toda postulación se presenta mediante el </w:t>
      </w:r>
      <w:r w:rsidR="155B45FA" w:rsidRPr="0081375C">
        <w:rPr>
          <w:rFonts w:ascii="Arial" w:eastAsia="Aptos" w:hAnsi="Arial" w:cs="Arial"/>
          <w:b/>
          <w:bCs/>
          <w:i/>
          <w:iCs/>
          <w:color w:val="000000" w:themeColor="text1"/>
        </w:rPr>
        <w:t>FO-GEAM</w:t>
      </w:r>
      <w:r w:rsidR="00A56D0A" w:rsidRPr="0081375C">
        <w:rPr>
          <w:rFonts w:ascii="Arial" w:eastAsia="Aptos" w:hAnsi="Arial" w:cs="Arial"/>
          <w:b/>
          <w:bCs/>
          <w:i/>
          <w:iCs/>
          <w:color w:val="000000" w:themeColor="text1"/>
        </w:rPr>
        <w:t xml:space="preserve"> </w:t>
      </w:r>
      <w:r w:rsidRPr="0081375C">
        <w:rPr>
          <w:rFonts w:ascii="Arial" w:eastAsia="Aptos" w:hAnsi="Arial" w:cs="Arial"/>
          <w:b/>
          <w:bCs/>
          <w:i/>
          <w:iCs/>
          <w:color w:val="000000" w:themeColor="text1"/>
        </w:rPr>
        <w:t xml:space="preserve">Solicitud de Ingreso al Esquema de Pago por Servicios Ambientales </w:t>
      </w:r>
      <w:r w:rsidRPr="0081375C">
        <w:rPr>
          <w:rFonts w:ascii="Arial" w:eastAsia="Aptos" w:hAnsi="Arial" w:cs="Arial"/>
          <w:color w:val="000000" w:themeColor="text1"/>
        </w:rPr>
        <w:t>acompañado de un paquete documental cuya composición varía según la relación jurídica del solicitante con el predio. Las tipologías contempladas son propietario, poseedor, poseedor en sucesión ilíquida y ocupante de predio baldío.</w:t>
      </w:r>
    </w:p>
    <w:p w14:paraId="3E3FB510" w14:textId="6CA8F8F9" w:rsidR="751229EA" w:rsidRPr="0081375C" w:rsidRDefault="751229EA" w:rsidP="751229EA">
      <w:pPr>
        <w:spacing w:line="23" w:lineRule="atLeast"/>
        <w:jc w:val="both"/>
        <w:rPr>
          <w:rFonts w:ascii="Arial" w:eastAsia="Aptos" w:hAnsi="Arial" w:cs="Arial"/>
          <w:color w:val="000000" w:themeColor="text1"/>
        </w:rPr>
      </w:pPr>
    </w:p>
    <w:p w14:paraId="0E7972AE" w14:textId="0E5C5215" w:rsidR="00825D4D" w:rsidRPr="0081375C" w:rsidRDefault="00806784" w:rsidP="003F6B53">
      <w:pPr>
        <w:spacing w:line="23" w:lineRule="atLeast"/>
        <w:mirrorIndents/>
        <w:jc w:val="both"/>
        <w:rPr>
          <w:rFonts w:ascii="Arial" w:eastAsia="Aptos" w:hAnsi="Arial" w:cs="Arial"/>
          <w:b/>
          <w:bCs/>
          <w:color w:val="000000" w:themeColor="text1"/>
        </w:rPr>
      </w:pPr>
      <w:r w:rsidRPr="0081375C">
        <w:rPr>
          <w:rFonts w:ascii="Arial" w:eastAsia="Aptos" w:hAnsi="Arial" w:cs="Arial"/>
          <w:b/>
          <w:bCs/>
          <w:color w:val="000000" w:themeColor="text1"/>
        </w:rPr>
        <w:t xml:space="preserve">Documentos de </w:t>
      </w:r>
      <w:r w:rsidR="00300692" w:rsidRPr="0081375C">
        <w:rPr>
          <w:rFonts w:ascii="Arial" w:eastAsia="Aptos" w:hAnsi="Arial" w:cs="Arial"/>
          <w:b/>
          <w:bCs/>
          <w:color w:val="000000" w:themeColor="text1"/>
        </w:rPr>
        <w:t>I</w:t>
      </w:r>
      <w:r w:rsidRPr="0081375C">
        <w:rPr>
          <w:rFonts w:ascii="Arial" w:eastAsia="Aptos" w:hAnsi="Arial" w:cs="Arial"/>
          <w:b/>
          <w:bCs/>
          <w:color w:val="000000" w:themeColor="text1"/>
        </w:rPr>
        <w:t>dentidad:</w:t>
      </w:r>
    </w:p>
    <w:p w14:paraId="75C2B6E9" w14:textId="77777777" w:rsidR="00C06090" w:rsidRPr="0081375C" w:rsidRDefault="00C06090" w:rsidP="003F6B53">
      <w:pPr>
        <w:spacing w:line="23" w:lineRule="atLeast"/>
        <w:mirrorIndents/>
        <w:jc w:val="both"/>
        <w:rPr>
          <w:rFonts w:ascii="Arial" w:eastAsia="Aptos" w:hAnsi="Arial" w:cs="Arial"/>
          <w:b/>
          <w:bCs/>
          <w:color w:val="000000" w:themeColor="text1"/>
        </w:rPr>
      </w:pPr>
    </w:p>
    <w:p w14:paraId="503689D0"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Fotocopia de la Cédula de Ciudadanía al 150% o del representante legal si se trata de persona jurídica.</w:t>
      </w:r>
    </w:p>
    <w:p w14:paraId="5751D2F1"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Certificado de existencia y representación legal con una vigencia no mayor a 90 días y fotocopia actualizada del RUT de la empresa, cuando se trate de personas jurídicas.</w:t>
      </w:r>
    </w:p>
    <w:p w14:paraId="79165458"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Registro civil de nacimiento si alguno de los propietarios es menor de edad.</w:t>
      </w:r>
    </w:p>
    <w:p w14:paraId="68AEAA47"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Formato de habeas data.</w:t>
      </w:r>
    </w:p>
    <w:p w14:paraId="0FC75ECE"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Constancia nivel de Sisbén</w:t>
      </w:r>
    </w:p>
    <w:p w14:paraId="148B2CE1" w14:textId="77777777" w:rsidR="00C06090" w:rsidRPr="0081375C" w:rsidRDefault="00C06090" w:rsidP="00C06090">
      <w:pPr>
        <w:pStyle w:val="Prrafodelista"/>
        <w:spacing w:line="23" w:lineRule="atLeast"/>
        <w:contextualSpacing w:val="0"/>
        <w:mirrorIndents/>
        <w:jc w:val="both"/>
        <w:rPr>
          <w:rFonts w:ascii="Arial" w:eastAsia="Aptos" w:hAnsi="Arial" w:cs="Arial"/>
          <w:color w:val="000000" w:themeColor="text1"/>
        </w:rPr>
      </w:pPr>
    </w:p>
    <w:p w14:paraId="35505E31" w14:textId="77777777" w:rsidR="00825D4D" w:rsidRPr="0081375C" w:rsidRDefault="00806784" w:rsidP="003F6B53">
      <w:pPr>
        <w:spacing w:line="23" w:lineRule="atLeast"/>
        <w:mirrorIndents/>
        <w:jc w:val="both"/>
        <w:rPr>
          <w:rFonts w:ascii="Arial" w:eastAsia="Aptos" w:hAnsi="Arial" w:cs="Arial"/>
          <w:b/>
          <w:bCs/>
          <w:color w:val="000000" w:themeColor="text1"/>
        </w:rPr>
      </w:pPr>
      <w:r w:rsidRPr="0081375C">
        <w:rPr>
          <w:rFonts w:ascii="Arial" w:eastAsia="Aptos" w:hAnsi="Arial" w:cs="Arial"/>
          <w:b/>
          <w:bCs/>
          <w:color w:val="000000" w:themeColor="text1"/>
        </w:rPr>
        <w:t>Propietarios:</w:t>
      </w:r>
    </w:p>
    <w:p w14:paraId="17303124" w14:textId="77777777" w:rsidR="00C06090" w:rsidRPr="0081375C" w:rsidRDefault="00C06090" w:rsidP="003F6B53">
      <w:pPr>
        <w:spacing w:line="23" w:lineRule="atLeast"/>
        <w:mirrorIndents/>
        <w:jc w:val="both"/>
        <w:rPr>
          <w:rFonts w:ascii="Arial" w:eastAsia="Aptos" w:hAnsi="Arial" w:cs="Arial"/>
          <w:b/>
          <w:bCs/>
          <w:color w:val="000000" w:themeColor="text1"/>
        </w:rPr>
      </w:pPr>
    </w:p>
    <w:p w14:paraId="421BF8F4"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Certificado de tradición y libertad del predio con una expedición no superior a un mes.</w:t>
      </w:r>
    </w:p>
    <w:p w14:paraId="462A6F86"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 xml:space="preserve">Recibo del impuesto predial del trimestre vencido o acuerdo de pago vigente.  </w:t>
      </w:r>
    </w:p>
    <w:p w14:paraId="65053B13"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Copia de la Escritura Pública o documento con el que adquirió el predio.</w:t>
      </w:r>
    </w:p>
    <w:p w14:paraId="14B8281D"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Poder, debidamente autenticado mediante notaria, cuando se trate de predios en copropiedad o si quien ostenta la tenencia del predio desea ser representado por un tercero.</w:t>
      </w:r>
    </w:p>
    <w:p w14:paraId="77E79CB3"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sobre la no existencia de áreas en procesos de compensación ambiental en las áreas con acciones en preservación y restauración del esquema.</w:t>
      </w:r>
    </w:p>
    <w:p w14:paraId="7B30C8C2" w14:textId="77777777" w:rsidR="00C06090" w:rsidRPr="0081375C" w:rsidRDefault="00C06090" w:rsidP="00C06090">
      <w:pPr>
        <w:pStyle w:val="Prrafodelista"/>
        <w:spacing w:line="23" w:lineRule="atLeast"/>
        <w:contextualSpacing w:val="0"/>
        <w:mirrorIndents/>
        <w:jc w:val="both"/>
        <w:rPr>
          <w:rFonts w:ascii="Arial" w:eastAsia="Aptos" w:hAnsi="Arial" w:cs="Arial"/>
          <w:color w:val="000000" w:themeColor="text1"/>
        </w:rPr>
      </w:pPr>
    </w:p>
    <w:p w14:paraId="0B7379C3" w14:textId="77777777" w:rsidR="00825D4D" w:rsidRPr="0081375C" w:rsidRDefault="00806784" w:rsidP="003F6B53">
      <w:pPr>
        <w:spacing w:line="23" w:lineRule="atLeast"/>
        <w:mirrorIndents/>
        <w:jc w:val="both"/>
        <w:rPr>
          <w:rFonts w:ascii="Arial" w:eastAsia="Aptos" w:hAnsi="Arial" w:cs="Arial"/>
          <w:b/>
          <w:bCs/>
          <w:color w:val="000000" w:themeColor="text1"/>
        </w:rPr>
      </w:pPr>
      <w:r w:rsidRPr="0081375C">
        <w:rPr>
          <w:rFonts w:ascii="Arial" w:eastAsia="Aptos" w:hAnsi="Arial" w:cs="Arial"/>
          <w:b/>
          <w:bCs/>
          <w:color w:val="000000" w:themeColor="text1"/>
        </w:rPr>
        <w:t>Poseedores:</w:t>
      </w:r>
    </w:p>
    <w:p w14:paraId="2E04CBE4" w14:textId="77777777" w:rsidR="00C06090" w:rsidRPr="0081375C" w:rsidRDefault="00C06090" w:rsidP="003F6B53">
      <w:pPr>
        <w:spacing w:line="23" w:lineRule="atLeast"/>
        <w:mirrorIndents/>
        <w:jc w:val="both"/>
        <w:rPr>
          <w:rFonts w:ascii="Arial" w:eastAsia="Aptos" w:hAnsi="Arial" w:cs="Arial"/>
          <w:b/>
          <w:bCs/>
          <w:color w:val="000000" w:themeColor="text1"/>
        </w:rPr>
      </w:pPr>
    </w:p>
    <w:p w14:paraId="6812F5B2"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de posesión de buena fe de manera pacífica e ininterrumpida por más de cinco (5) años.</w:t>
      </w:r>
    </w:p>
    <w:p w14:paraId="3A688EEC"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 xml:space="preserve">Documentos públicos o privados en los que conste la naturaleza de la relación jurídica con el inmueble. De no contar con estos, podrá aportar por lo menos dos de los siguientes documentos: constancias de pago de impuestos, servicios </w:t>
      </w:r>
      <w:r w:rsidRPr="0081375C">
        <w:rPr>
          <w:rFonts w:ascii="Arial" w:eastAsia="Aptos" w:hAnsi="Arial" w:cs="Arial"/>
          <w:color w:val="000000" w:themeColor="text1"/>
        </w:rPr>
        <w:lastRenderedPageBreak/>
        <w:t>públicos, contribuciones, valorizaciones, actas de colindancias, certificación de formación catastral (cédula catastral CBML), declaración juramentada de testigos o cualquier otro medio probatorio que permita establecer la posesión y su carácter regular de conformidad con los Códigos Civil y General del Proceso y demás normativa nacional vigente.</w:t>
      </w:r>
    </w:p>
    <w:p w14:paraId="583FC4BB"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Actas de colindancias.</w:t>
      </w:r>
    </w:p>
    <w:p w14:paraId="216B2156"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Certificación de formación catastral (cédula catastral CBML).</w:t>
      </w:r>
    </w:p>
    <w:p w14:paraId="25EAAD32"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de testigos; o cualquier otro medio probatorio que permita establecer la posesión y su carácter regular conforme a los Códigos Civil y General del Proceso y demás normativa nacional vigente.</w:t>
      </w:r>
    </w:p>
    <w:p w14:paraId="0DDE032C" w14:textId="631F8CA2" w:rsidR="00825D4D" w:rsidRPr="0081375C" w:rsidRDefault="00825D4D"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sobre la no existencia de áreas en procesos de compensación ambiental.</w:t>
      </w:r>
    </w:p>
    <w:p w14:paraId="15A3723D" w14:textId="77777777" w:rsidR="00C06090" w:rsidRPr="0081375C" w:rsidRDefault="00C06090" w:rsidP="00C06090">
      <w:pPr>
        <w:pStyle w:val="Prrafodelista"/>
        <w:spacing w:line="23" w:lineRule="atLeast"/>
        <w:contextualSpacing w:val="0"/>
        <w:mirrorIndents/>
        <w:jc w:val="both"/>
        <w:rPr>
          <w:rFonts w:ascii="Arial" w:eastAsia="Aptos" w:hAnsi="Arial" w:cs="Arial"/>
          <w:color w:val="000000" w:themeColor="text1"/>
        </w:rPr>
      </w:pPr>
    </w:p>
    <w:p w14:paraId="192C6323" w14:textId="6A538ED8" w:rsidR="00825D4D" w:rsidRPr="0081375C" w:rsidRDefault="00806784" w:rsidP="003F6B53">
      <w:pPr>
        <w:spacing w:line="23" w:lineRule="atLeast"/>
        <w:mirrorIndents/>
        <w:jc w:val="both"/>
        <w:rPr>
          <w:rFonts w:ascii="Arial" w:eastAsia="Aptos" w:hAnsi="Arial" w:cs="Arial"/>
          <w:b/>
          <w:bCs/>
          <w:color w:val="000000" w:themeColor="text1"/>
        </w:rPr>
      </w:pPr>
      <w:r w:rsidRPr="0081375C">
        <w:rPr>
          <w:rFonts w:ascii="Arial" w:eastAsia="Aptos" w:hAnsi="Arial" w:cs="Arial"/>
          <w:b/>
          <w:bCs/>
          <w:color w:val="000000" w:themeColor="text1"/>
        </w:rPr>
        <w:t xml:space="preserve">Poseedores Sucesión </w:t>
      </w:r>
      <w:r w:rsidR="00300692" w:rsidRPr="0081375C">
        <w:rPr>
          <w:rFonts w:ascii="Arial" w:eastAsia="Aptos" w:hAnsi="Arial" w:cs="Arial"/>
          <w:b/>
          <w:bCs/>
          <w:color w:val="000000" w:themeColor="text1"/>
        </w:rPr>
        <w:t>I</w:t>
      </w:r>
      <w:r w:rsidRPr="0081375C">
        <w:rPr>
          <w:rFonts w:ascii="Arial" w:eastAsia="Aptos" w:hAnsi="Arial" w:cs="Arial"/>
          <w:b/>
          <w:bCs/>
          <w:color w:val="000000" w:themeColor="text1"/>
        </w:rPr>
        <w:t>líquida:</w:t>
      </w:r>
    </w:p>
    <w:p w14:paraId="6582C723" w14:textId="77777777" w:rsidR="00C06090" w:rsidRPr="0081375C" w:rsidRDefault="00C06090" w:rsidP="003F6B53">
      <w:pPr>
        <w:spacing w:line="23" w:lineRule="atLeast"/>
        <w:mirrorIndents/>
        <w:jc w:val="both"/>
        <w:rPr>
          <w:rFonts w:ascii="Arial" w:eastAsia="Aptos" w:hAnsi="Arial" w:cs="Arial"/>
          <w:b/>
          <w:bCs/>
          <w:color w:val="000000" w:themeColor="text1"/>
        </w:rPr>
      </w:pPr>
    </w:p>
    <w:p w14:paraId="02E2B28B"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Certificado de tradición y libertad del predio con una expedición no superior a un mes.</w:t>
      </w:r>
    </w:p>
    <w:p w14:paraId="4DE829BB"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Copia de la escritura pública o documento con que se adquirió el predio.</w:t>
      </w:r>
    </w:p>
    <w:p w14:paraId="5E95BD5B"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Copia de Registro civil de defunción del causante.</w:t>
      </w:r>
    </w:p>
    <w:p w14:paraId="318E3569"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Copia de Registro civil de matrimonio si lo hay o constancia de unión marital de hecho.</w:t>
      </w:r>
    </w:p>
    <w:p w14:paraId="37A3BF75"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Copia de registros civiles de nacimiento de los hijos del causante, si los hay.</w:t>
      </w:r>
    </w:p>
    <w:p w14:paraId="1FF4BBD4"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Copia de documentos de identidad de los herederos.</w:t>
      </w:r>
    </w:p>
    <w:p w14:paraId="0AD68312"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Poder autenticado en el que los herederos faculten a uno de ellos a actuar en el esquema.</w:t>
      </w:r>
    </w:p>
    <w:p w14:paraId="626EEEDA"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en la que el apoderado manifieste que se reconocen como únicos herederos.</w:t>
      </w:r>
    </w:p>
    <w:p w14:paraId="54CE0C91"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sobre la no existencia de áreas en procesos de compensación ambiental.</w:t>
      </w:r>
    </w:p>
    <w:p w14:paraId="5BC99A24" w14:textId="77777777" w:rsidR="00C06090" w:rsidRPr="0081375C" w:rsidRDefault="00C06090" w:rsidP="00C06090">
      <w:pPr>
        <w:pStyle w:val="Prrafodelista"/>
        <w:spacing w:line="23" w:lineRule="atLeast"/>
        <w:contextualSpacing w:val="0"/>
        <w:mirrorIndents/>
        <w:jc w:val="both"/>
        <w:rPr>
          <w:rFonts w:ascii="Arial" w:eastAsia="Aptos" w:hAnsi="Arial" w:cs="Arial"/>
          <w:color w:val="000000" w:themeColor="text1"/>
        </w:rPr>
      </w:pPr>
    </w:p>
    <w:p w14:paraId="42F8165B" w14:textId="49B3D6C6" w:rsidR="00825D4D" w:rsidRPr="0081375C" w:rsidRDefault="00806784" w:rsidP="003F6B53">
      <w:pPr>
        <w:spacing w:line="23" w:lineRule="atLeast"/>
        <w:mirrorIndents/>
        <w:jc w:val="both"/>
        <w:rPr>
          <w:rFonts w:ascii="Arial" w:eastAsia="Aptos" w:hAnsi="Arial" w:cs="Arial"/>
          <w:b/>
          <w:bCs/>
          <w:color w:val="000000" w:themeColor="text1"/>
        </w:rPr>
      </w:pPr>
      <w:r w:rsidRPr="0081375C">
        <w:rPr>
          <w:rFonts w:ascii="Arial" w:eastAsia="Aptos" w:hAnsi="Arial" w:cs="Arial"/>
          <w:b/>
          <w:bCs/>
          <w:color w:val="000000" w:themeColor="text1"/>
        </w:rPr>
        <w:t xml:space="preserve">Ocupante de </w:t>
      </w:r>
      <w:r w:rsidR="00300692" w:rsidRPr="0081375C">
        <w:rPr>
          <w:rFonts w:ascii="Arial" w:eastAsia="Aptos" w:hAnsi="Arial" w:cs="Arial"/>
          <w:b/>
          <w:bCs/>
          <w:color w:val="000000" w:themeColor="text1"/>
        </w:rPr>
        <w:t>P</w:t>
      </w:r>
      <w:r w:rsidRPr="0081375C">
        <w:rPr>
          <w:rFonts w:ascii="Arial" w:eastAsia="Aptos" w:hAnsi="Arial" w:cs="Arial"/>
          <w:b/>
          <w:bCs/>
          <w:color w:val="000000" w:themeColor="text1"/>
        </w:rPr>
        <w:t xml:space="preserve">redio </w:t>
      </w:r>
      <w:r w:rsidR="00300692" w:rsidRPr="0081375C">
        <w:rPr>
          <w:rFonts w:ascii="Arial" w:eastAsia="Aptos" w:hAnsi="Arial" w:cs="Arial"/>
          <w:b/>
          <w:bCs/>
          <w:color w:val="000000" w:themeColor="text1"/>
        </w:rPr>
        <w:t>B</w:t>
      </w:r>
      <w:r w:rsidRPr="0081375C">
        <w:rPr>
          <w:rFonts w:ascii="Arial" w:eastAsia="Aptos" w:hAnsi="Arial" w:cs="Arial"/>
          <w:b/>
          <w:bCs/>
          <w:color w:val="000000" w:themeColor="text1"/>
        </w:rPr>
        <w:t>aldío</w:t>
      </w:r>
    </w:p>
    <w:p w14:paraId="778FB00B" w14:textId="77777777" w:rsidR="00C06090" w:rsidRPr="0081375C" w:rsidRDefault="00C06090" w:rsidP="003F6B53">
      <w:pPr>
        <w:spacing w:line="23" w:lineRule="atLeast"/>
        <w:mirrorIndents/>
        <w:jc w:val="both"/>
        <w:rPr>
          <w:rFonts w:ascii="Arial" w:eastAsia="Aptos" w:hAnsi="Arial" w:cs="Arial"/>
          <w:b/>
          <w:bCs/>
          <w:color w:val="000000" w:themeColor="text1"/>
        </w:rPr>
      </w:pPr>
    </w:p>
    <w:p w14:paraId="09269C44" w14:textId="77777777" w:rsidR="00825D4D" w:rsidRPr="0081375C" w:rsidRDefault="00806784">
      <w:pPr>
        <w:pStyle w:val="Prrafodelista"/>
        <w:numPr>
          <w:ilvl w:val="0"/>
          <w:numId w:val="5"/>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Declaración juramentada de explotación y ocupación de buena fe exenta de culpa por más de cinco años.</w:t>
      </w:r>
    </w:p>
    <w:p w14:paraId="6BD8D078" w14:textId="56AD346D" w:rsidR="00825D4D" w:rsidRPr="0081375C" w:rsidRDefault="00825D4D">
      <w:pPr>
        <w:pStyle w:val="Prrafodelista"/>
        <w:numPr>
          <w:ilvl w:val="0"/>
          <w:numId w:val="5"/>
        </w:numPr>
        <w:spacing w:line="23" w:lineRule="atLeast"/>
        <w:contextualSpacing w:val="0"/>
        <w:mirrorIndents/>
        <w:jc w:val="both"/>
        <w:rPr>
          <w:rFonts w:ascii="Arial" w:eastAsia="Aptos" w:hAnsi="Arial" w:cs="Arial"/>
          <w:color w:val="000000" w:themeColor="text1"/>
        </w:rPr>
      </w:pPr>
      <w:r w:rsidRPr="0081375C">
        <w:rPr>
          <w:rFonts w:ascii="Arial" w:eastAsia="Aptos" w:hAnsi="Arial" w:cs="Arial"/>
          <w:color w:val="000000" w:themeColor="text1"/>
        </w:rPr>
        <w:t>Documentos públicos o privados que acrediten la naturaleza de la relación jurídica con el inmueble.</w:t>
      </w:r>
    </w:p>
    <w:p w14:paraId="606D189D" w14:textId="77777777" w:rsidR="00C06090" w:rsidRPr="0081375C" w:rsidRDefault="00C06090" w:rsidP="00C06090">
      <w:pPr>
        <w:pStyle w:val="Prrafodelista"/>
        <w:spacing w:line="23" w:lineRule="atLeast"/>
        <w:contextualSpacing w:val="0"/>
        <w:mirrorIndents/>
        <w:jc w:val="both"/>
        <w:rPr>
          <w:rFonts w:ascii="Arial" w:eastAsia="Aptos" w:hAnsi="Arial" w:cs="Arial"/>
          <w:color w:val="000000" w:themeColor="text1"/>
        </w:rPr>
      </w:pPr>
    </w:p>
    <w:p w14:paraId="79D68CC1" w14:textId="5EB42B2D" w:rsidR="00825D4D" w:rsidRPr="0081375C" w:rsidRDefault="00825D4D" w:rsidP="003F6B53">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 xml:space="preserve">Sobre la tenencia, la posesión se entenderá de buena fe. Si en algún momento se presenta una reclamación relacionada con la tenencia del predio o, en el caso de las sucesiones sin liquidar, se alega algún derecho </w:t>
      </w:r>
      <w:proofErr w:type="spellStart"/>
      <w:r w:rsidRPr="0081375C">
        <w:rPr>
          <w:rFonts w:ascii="Arial" w:eastAsia="Aptos" w:hAnsi="Arial" w:cs="Arial"/>
          <w:color w:val="000000" w:themeColor="text1"/>
        </w:rPr>
        <w:t>sucesoral</w:t>
      </w:r>
      <w:proofErr w:type="spellEnd"/>
      <w:r w:rsidRPr="0081375C">
        <w:rPr>
          <w:rFonts w:ascii="Arial" w:eastAsia="Aptos" w:hAnsi="Arial" w:cs="Arial"/>
          <w:color w:val="000000" w:themeColor="text1"/>
        </w:rPr>
        <w:t xml:space="preserve"> por parte de un tercero, podrá ser causal de suspensión o terminación del acuerdo según el caso. El concepto jurídico generado por el proceso de evaluación de postulaciones y el ingreso al esquema no </w:t>
      </w:r>
      <w:r w:rsidRPr="0081375C">
        <w:rPr>
          <w:rFonts w:ascii="Arial" w:eastAsia="Aptos" w:hAnsi="Arial" w:cs="Arial"/>
          <w:color w:val="000000" w:themeColor="text1"/>
        </w:rPr>
        <w:lastRenderedPageBreak/>
        <w:t>constituyen un pronunciamiento administrativo sobre la validez de la propiedad o tenencia de predios por parte del Distrito.</w:t>
      </w:r>
    </w:p>
    <w:p w14:paraId="0B2C7FB1" w14:textId="77777777" w:rsidR="00C06090" w:rsidRPr="0081375C" w:rsidRDefault="00C06090" w:rsidP="003F6B53">
      <w:pPr>
        <w:spacing w:line="23" w:lineRule="atLeast"/>
        <w:mirrorIndents/>
        <w:jc w:val="both"/>
        <w:rPr>
          <w:rFonts w:ascii="Arial" w:eastAsia="Aptos" w:hAnsi="Arial" w:cs="Arial"/>
          <w:color w:val="000000" w:themeColor="text1"/>
        </w:rPr>
      </w:pPr>
    </w:p>
    <w:p w14:paraId="36E2C76B" w14:textId="77777777" w:rsidR="00825D4D" w:rsidRPr="0081375C" w:rsidRDefault="00806784" w:rsidP="003F6B53">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Sobre el fallecimiento del titular del acuerdo, este será causal de terminación; sin perjuicio de que un heredero facultado por los demás pueda solicitar la continuidad del predio en el esquema mediante la suscripción de un nuevo acuerdo, previa evaluación jurídica favorable de los documentos de poseedores de sucesión ilíquida y asegurando la permanencia de las condiciones técnicas con las que el predio participa en el esquema. El término de duración del nuevo acuerdo se sumará al tiempo transcurrido del acuerdo inicial sin superar el término estipulado originalmente.</w:t>
      </w:r>
    </w:p>
    <w:p w14:paraId="29BE850C" w14:textId="77777777" w:rsidR="00C06090" w:rsidRPr="0081375C" w:rsidRDefault="00C06090" w:rsidP="003F6B53">
      <w:pPr>
        <w:spacing w:line="23" w:lineRule="atLeast"/>
        <w:mirrorIndents/>
        <w:jc w:val="both"/>
        <w:rPr>
          <w:rFonts w:ascii="Arial" w:eastAsia="Aptos" w:hAnsi="Arial" w:cs="Arial"/>
          <w:color w:val="000000" w:themeColor="text1"/>
        </w:rPr>
      </w:pPr>
    </w:p>
    <w:p w14:paraId="39EC8AA8" w14:textId="5B4AD7A8" w:rsidR="00825D4D" w:rsidRPr="0081375C" w:rsidRDefault="00806784" w:rsidP="003F6B53">
      <w:pPr>
        <w:spacing w:line="23" w:lineRule="atLeast"/>
        <w:mirrorIndents/>
        <w:jc w:val="both"/>
        <w:rPr>
          <w:rFonts w:ascii="Arial" w:eastAsia="Aptos" w:hAnsi="Arial" w:cs="Arial"/>
          <w:b/>
          <w:bCs/>
          <w:color w:val="000000" w:themeColor="text1"/>
        </w:rPr>
      </w:pPr>
      <w:r w:rsidRPr="0081375C">
        <w:rPr>
          <w:rFonts w:ascii="Arial" w:eastAsia="Aptos" w:hAnsi="Arial" w:cs="Arial"/>
          <w:b/>
          <w:bCs/>
          <w:color w:val="000000" w:themeColor="text1"/>
        </w:rPr>
        <w:t xml:space="preserve">Procedimiento </w:t>
      </w:r>
      <w:r w:rsidR="33BF8AEC" w:rsidRPr="0081375C">
        <w:rPr>
          <w:rFonts w:ascii="Arial" w:eastAsia="Aptos" w:hAnsi="Arial" w:cs="Arial"/>
          <w:b/>
          <w:bCs/>
          <w:color w:val="000000" w:themeColor="text1"/>
        </w:rPr>
        <w:t>d</w:t>
      </w:r>
      <w:r w:rsidRPr="0081375C">
        <w:rPr>
          <w:rFonts w:ascii="Arial" w:eastAsia="Aptos" w:hAnsi="Arial" w:cs="Arial"/>
          <w:b/>
          <w:bCs/>
          <w:color w:val="000000" w:themeColor="text1"/>
        </w:rPr>
        <w:t>e Radicación</w:t>
      </w:r>
    </w:p>
    <w:p w14:paraId="42EF7270" w14:textId="77777777" w:rsidR="00C06090" w:rsidRPr="0081375C" w:rsidRDefault="00C06090" w:rsidP="003F6B53">
      <w:pPr>
        <w:spacing w:line="23" w:lineRule="atLeast"/>
        <w:mirrorIndents/>
        <w:jc w:val="both"/>
        <w:rPr>
          <w:rFonts w:ascii="Arial" w:eastAsia="Aptos" w:hAnsi="Arial" w:cs="Arial"/>
          <w:b/>
          <w:color w:val="000000" w:themeColor="text1"/>
        </w:rPr>
      </w:pPr>
    </w:p>
    <w:p w14:paraId="20A1C62F" w14:textId="3BE74320" w:rsidR="00825D4D" w:rsidRPr="0081375C" w:rsidRDefault="67B81717" w:rsidP="751229EA">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Una vez recibida la postulación, el equipo encargado realiza la verificación de la lista de chequeo correspondiente a la tipología declarada. Si la documentación se encuentra incompleta, la solicitud no será radicada y será devuelta al solicitante, indicando los documentos faltantes. En este caso, podrá presentar nuevamente su postulación siempre que la convocatoria continúe vigente. Por su parte, las postulaciones que cuenten con la documentación completa recibirán un número de proceso, el cual permitirá su identificación a lo largo de todas las etapas de la cadena de selección. Este identificador podrá corresponder al CBML del predio. La constancia de recibido será enviada al solicitante en el mismo momento.</w:t>
      </w:r>
    </w:p>
    <w:p w14:paraId="2C74A79A" w14:textId="10CAF50A" w:rsidR="00825D4D" w:rsidRPr="0081375C" w:rsidRDefault="00825D4D" w:rsidP="003F6B53">
      <w:pPr>
        <w:spacing w:line="23" w:lineRule="atLeast"/>
        <w:mirrorIndents/>
        <w:jc w:val="both"/>
        <w:rPr>
          <w:rFonts w:ascii="Arial" w:eastAsia="Aptos" w:hAnsi="Arial" w:cs="Arial"/>
          <w:color w:val="000000" w:themeColor="text1"/>
        </w:rPr>
      </w:pPr>
    </w:p>
    <w:p w14:paraId="6E344020" w14:textId="1FC65877" w:rsidR="00825D4D" w:rsidRPr="0081375C" w:rsidRDefault="00825D4D" w:rsidP="751229EA">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Se informa al solicitante sobre el requisito asociado al impuesto predial en caso de obtener concepto jurídico y técnico favorable, deberá estar al día con el impuesto predial o presentar una facilidad de pago vigente ante la Subsecretaría de Tesorería como requisito previo a la suscripción del acuerdo. Esta condición no afecta la radicación de la postulación ni el avance de la evaluación; solo se vuelve exigible en el momento de la formalización.</w:t>
      </w:r>
    </w:p>
    <w:p w14:paraId="5FA7F822" w14:textId="77777777" w:rsidR="00C06090" w:rsidRPr="0081375C" w:rsidRDefault="00C06090" w:rsidP="003F6B53">
      <w:pPr>
        <w:spacing w:line="23" w:lineRule="atLeast"/>
        <w:mirrorIndents/>
        <w:jc w:val="both"/>
        <w:rPr>
          <w:rFonts w:ascii="Arial" w:eastAsia="Aptos" w:hAnsi="Arial" w:cs="Arial"/>
          <w:color w:val="000000" w:themeColor="text1"/>
        </w:rPr>
      </w:pPr>
    </w:p>
    <w:p w14:paraId="658CFECA" w14:textId="5796345B" w:rsidR="00825D4D" w:rsidRPr="0081375C" w:rsidRDefault="00806784" w:rsidP="003F6B53">
      <w:pPr>
        <w:spacing w:line="23" w:lineRule="atLeast"/>
        <w:mirrorIndents/>
        <w:jc w:val="both"/>
        <w:rPr>
          <w:rFonts w:ascii="Arial" w:eastAsia="Aptos" w:hAnsi="Arial" w:cs="Arial"/>
          <w:color w:val="000000" w:themeColor="text1"/>
        </w:rPr>
      </w:pPr>
      <w:r w:rsidRPr="0081375C">
        <w:rPr>
          <w:rFonts w:ascii="Arial" w:eastAsia="Aptos" w:hAnsi="Arial" w:cs="Arial"/>
          <w:color w:val="000000" w:themeColor="text1"/>
        </w:rPr>
        <w:t>El resultado de esta actividad es el registro de postulaciones, generando un listado de solicitudes radicadas con fecha, número de proceso (CBML del predio), lista de chequeo de documentos a partir de</w:t>
      </w:r>
      <w:r w:rsidR="272E8BB3" w:rsidRPr="0081375C">
        <w:rPr>
          <w:rFonts w:ascii="Arial" w:eastAsia="Aptos" w:hAnsi="Arial" w:cs="Arial"/>
          <w:color w:val="000000" w:themeColor="text1"/>
        </w:rPr>
        <w:t xml:space="preserve"> </w:t>
      </w:r>
      <w:r w:rsidRPr="0081375C">
        <w:rPr>
          <w:rFonts w:ascii="Arial" w:eastAsia="Aptos" w:hAnsi="Arial" w:cs="Arial"/>
          <w:color w:val="000000" w:themeColor="text1"/>
        </w:rPr>
        <w:t>los cuales se establece la tipología de solicitante. Las solicitudes devueltas se inscriben en un registro de rechazos con motivo, documentos faltantes y fecha, separado del registro formal de postulaciones radicadas. Ambos registros constituyen el insumo de entrada para la evaluación jurídica.</w:t>
      </w:r>
    </w:p>
    <w:p w14:paraId="6D176C43" w14:textId="77777777" w:rsidR="00825D4D" w:rsidRPr="0081375C" w:rsidRDefault="00825D4D" w:rsidP="003F6B53">
      <w:pPr>
        <w:spacing w:line="23" w:lineRule="atLeast"/>
        <w:mirrorIndents/>
        <w:jc w:val="both"/>
        <w:rPr>
          <w:rFonts w:ascii="Arial" w:eastAsia="Aptos" w:hAnsi="Arial" w:cs="Arial"/>
          <w:color w:val="000000" w:themeColor="text1"/>
        </w:rPr>
      </w:pPr>
    </w:p>
    <w:p w14:paraId="634FFD59" w14:textId="71B96F33" w:rsidR="00825D4D" w:rsidRPr="0081375C" w:rsidRDefault="00825D4D" w:rsidP="0070084E">
      <w:pPr>
        <w:pStyle w:val="Ttulo3"/>
        <w:numPr>
          <w:ilvl w:val="2"/>
          <w:numId w:val="27"/>
        </w:numPr>
        <w:spacing w:beforeAutospacing="0" w:afterAutospacing="0" w:line="23" w:lineRule="atLeast"/>
        <w:rPr>
          <w:color w:val="000000" w:themeColor="text1"/>
          <w:lang w:val="es-CO"/>
        </w:rPr>
      </w:pPr>
      <w:bookmarkStart w:id="58" w:name="_Toc232154414"/>
      <w:bookmarkStart w:id="59" w:name="_Toc233304178"/>
      <w:r w:rsidRPr="0081375C">
        <w:rPr>
          <w:color w:val="000000" w:themeColor="text1"/>
          <w:lang w:val="es-CO"/>
        </w:rPr>
        <w:t xml:space="preserve">Evaluación de </w:t>
      </w:r>
      <w:r w:rsidR="00300692" w:rsidRPr="0081375C">
        <w:rPr>
          <w:color w:val="000000" w:themeColor="text1"/>
          <w:lang w:val="es-CO"/>
        </w:rPr>
        <w:t>P</w:t>
      </w:r>
      <w:r w:rsidRPr="0081375C">
        <w:rPr>
          <w:color w:val="000000" w:themeColor="text1"/>
          <w:lang w:val="es-CO"/>
        </w:rPr>
        <w:t>ostulaciones</w:t>
      </w:r>
      <w:bookmarkEnd w:id="58"/>
      <w:bookmarkEnd w:id="59"/>
    </w:p>
    <w:p w14:paraId="605161D2" w14:textId="77777777" w:rsidR="00C06090" w:rsidRPr="0081375C" w:rsidRDefault="00C06090" w:rsidP="00C06090">
      <w:pPr>
        <w:rPr>
          <w:rFonts w:ascii="Arial" w:hAnsi="Arial" w:cs="Arial"/>
        </w:rPr>
      </w:pPr>
    </w:p>
    <w:p w14:paraId="24D6F5EC" w14:textId="22F5297B"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evaluación examina cada postulación recibida mediante una secuencia de filtros progresivos. La evaluación preliminar verifica los requisitos de participación; la evaluación jurídica analiza la condición legal del predio y del postulante; la evaluación técnica con visita de campo corrobora en terreno la información declarada. Los resultados se </w:t>
      </w:r>
      <w:r w:rsidRPr="0081375C">
        <w:rPr>
          <w:rFonts w:ascii="Arial" w:eastAsia="Arial" w:hAnsi="Arial" w:cs="Arial"/>
          <w:color w:val="000000" w:themeColor="text1"/>
        </w:rPr>
        <w:lastRenderedPageBreak/>
        <w:t>consolidan en el informe de evaluación de predios y la selección final se adopta mediante el comité técnico, que define los predios que avanzan a la formalización.</w:t>
      </w:r>
    </w:p>
    <w:p w14:paraId="232CE767" w14:textId="77777777" w:rsidR="00C06090" w:rsidRPr="0081375C" w:rsidRDefault="00C06090" w:rsidP="003F6B53">
      <w:pPr>
        <w:spacing w:line="23" w:lineRule="atLeast"/>
        <w:jc w:val="both"/>
        <w:rPr>
          <w:rFonts w:ascii="Arial" w:eastAsia="Arial" w:hAnsi="Arial" w:cs="Arial"/>
          <w:color w:val="000000" w:themeColor="text1"/>
        </w:rPr>
      </w:pPr>
    </w:p>
    <w:p w14:paraId="0995C956" w14:textId="19A514A4"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Una vez el predio postulado cuente con una evaluación jurídica positiva, para programar las visitas se tendrá preferencia por el nivel de vulnerabilidad social medido a través del SISBEN y el registro del predio como Reserva Natural de la Sociedad Civil.</w:t>
      </w:r>
    </w:p>
    <w:p w14:paraId="410BC72C" w14:textId="77777777" w:rsidR="00C06090" w:rsidRPr="0081375C" w:rsidRDefault="00C06090" w:rsidP="003F6B53">
      <w:pPr>
        <w:spacing w:line="23" w:lineRule="atLeast"/>
        <w:jc w:val="both"/>
        <w:rPr>
          <w:rFonts w:ascii="Arial" w:eastAsia="Arial" w:hAnsi="Arial" w:cs="Arial"/>
          <w:color w:val="000000" w:themeColor="text1"/>
        </w:rPr>
      </w:pPr>
    </w:p>
    <w:p w14:paraId="5116E644" w14:textId="33141529"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Aquellas</w:t>
      </w:r>
      <w:r w:rsidR="449954F1" w:rsidRPr="0081375C">
        <w:rPr>
          <w:rFonts w:ascii="Arial" w:eastAsia="Arial" w:hAnsi="Arial" w:cs="Arial"/>
          <w:color w:val="000000" w:themeColor="text1"/>
        </w:rPr>
        <w:t xml:space="preserve"> </w:t>
      </w:r>
      <w:r w:rsidRPr="0081375C">
        <w:rPr>
          <w:rFonts w:ascii="Arial" w:eastAsia="Arial" w:hAnsi="Arial" w:cs="Arial"/>
          <w:color w:val="000000" w:themeColor="text1"/>
        </w:rPr>
        <w:t>personas clasificadas en los niveles más bajos del SISBEN, organizados por grados de vulnerabilidad de mayor a menor, desde A (A1-A5) como el grupo más vulnerable, B (B1-B7) y C (C1-C18) como el menos vulnerable, tendrán ingreso automático al esquema PSAH. Las personas clasificadas en el criterio D no tendrán ingreso automático al esquema y serán consideradas dentro de la priorización técnica.</w:t>
      </w:r>
    </w:p>
    <w:p w14:paraId="10078985" w14:textId="77777777" w:rsidR="00C06090" w:rsidRPr="0081375C" w:rsidRDefault="00C06090" w:rsidP="003F6B53">
      <w:pPr>
        <w:spacing w:line="23" w:lineRule="atLeast"/>
        <w:jc w:val="both"/>
        <w:rPr>
          <w:rFonts w:ascii="Arial" w:eastAsia="Arial" w:hAnsi="Arial" w:cs="Arial"/>
          <w:color w:val="000000" w:themeColor="text1"/>
        </w:rPr>
      </w:pPr>
    </w:p>
    <w:p w14:paraId="0E0398CC" w14:textId="0556ADA7"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Conforme a lo dispuesto en el artículo 2.2.2.1.17.14 del Decreto 1076 de 2015 el Gobierno Nacional y las entidades territoriales deberán crear incentivos dirigidos a la conservación realizada por propietarios de las Reservas Naturales de la Sociedad Civil registradas ante Parques Nacionales Naturales de Colombia.</w:t>
      </w:r>
      <w:r w:rsidR="75023761" w:rsidRPr="0081375C">
        <w:rPr>
          <w:rFonts w:ascii="Arial" w:eastAsia="Arial" w:hAnsi="Arial" w:cs="Arial"/>
          <w:color w:val="000000" w:themeColor="text1"/>
        </w:rPr>
        <w:t xml:space="preserve"> Los predios que presenten esta característica tendrán prioridad en la evaluación y el ingreso de su postulación.</w:t>
      </w:r>
    </w:p>
    <w:p w14:paraId="1C750FE4" w14:textId="77777777" w:rsidR="00C06090" w:rsidRPr="0081375C" w:rsidRDefault="00C06090" w:rsidP="003F6B53">
      <w:pPr>
        <w:spacing w:line="23" w:lineRule="atLeast"/>
        <w:jc w:val="both"/>
        <w:rPr>
          <w:rFonts w:ascii="Arial" w:eastAsia="Arial" w:hAnsi="Arial" w:cs="Arial"/>
          <w:color w:val="000000" w:themeColor="text1"/>
        </w:rPr>
      </w:pPr>
    </w:p>
    <w:p w14:paraId="3B097B7D" w14:textId="0F302CFC"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60" w:name="_Toc233304179"/>
      <w:r w:rsidRPr="0081375C">
        <w:rPr>
          <w:rFonts w:eastAsia="Aptos" w:cs="Arial"/>
          <w:bCs/>
          <w:color w:val="000000" w:themeColor="text1"/>
        </w:rPr>
        <w:t xml:space="preserve">Evaluación </w:t>
      </w:r>
      <w:r w:rsidR="00300692" w:rsidRPr="0081375C">
        <w:rPr>
          <w:rFonts w:eastAsia="Aptos" w:cs="Arial"/>
          <w:bCs/>
          <w:color w:val="000000" w:themeColor="text1"/>
        </w:rPr>
        <w:t>D</w:t>
      </w:r>
      <w:r w:rsidRPr="0081375C">
        <w:rPr>
          <w:rFonts w:eastAsia="Aptos" w:cs="Arial"/>
          <w:bCs/>
          <w:color w:val="000000" w:themeColor="text1"/>
        </w:rPr>
        <w:t xml:space="preserve">ocumental </w:t>
      </w:r>
      <w:r w:rsidR="00300692" w:rsidRPr="0081375C">
        <w:rPr>
          <w:rFonts w:eastAsia="Aptos" w:cs="Arial"/>
          <w:bCs/>
          <w:color w:val="000000" w:themeColor="text1"/>
        </w:rPr>
        <w:t>P</w:t>
      </w:r>
      <w:r w:rsidRPr="0081375C">
        <w:rPr>
          <w:rFonts w:eastAsia="Aptos" w:cs="Arial"/>
          <w:bCs/>
          <w:color w:val="000000" w:themeColor="text1"/>
        </w:rPr>
        <w:t>reliminar</w:t>
      </w:r>
      <w:bookmarkEnd w:id="60"/>
    </w:p>
    <w:p w14:paraId="2AAACF0A" w14:textId="77777777" w:rsidR="00C06090" w:rsidRPr="0081375C" w:rsidRDefault="00C06090" w:rsidP="00C06090">
      <w:pPr>
        <w:rPr>
          <w:rFonts w:ascii="Arial" w:hAnsi="Arial" w:cs="Arial"/>
        </w:rPr>
      </w:pPr>
    </w:p>
    <w:p w14:paraId="07E837C3" w14:textId="77745B44" w:rsidR="53ABCE9C" w:rsidRPr="0081375C" w:rsidRDefault="53ABCE9C" w:rsidP="729FED67">
      <w:pPr>
        <w:spacing w:line="23" w:lineRule="atLeast"/>
        <w:jc w:val="both"/>
        <w:rPr>
          <w:rFonts w:ascii="Arial" w:hAnsi="Arial"/>
          <w:color w:val="FF0000"/>
        </w:rPr>
      </w:pPr>
      <w:r w:rsidRPr="0081375C">
        <w:rPr>
          <w:rFonts w:ascii="Arial" w:eastAsia="Arial" w:hAnsi="Arial" w:cs="Arial"/>
          <w:color w:val="000000" w:themeColor="text1"/>
        </w:rPr>
        <w:t xml:space="preserve">La evaluación preliminar se realiza antes de que el componente jurídico inicie su análisis de fondo, clasificando las postulaciones radicadas en tres tipos de categorías de procesamiento: a) gestión directa, b) subsanación o gestión adicional, y c) presentan complejidades que se prolongan más allá de la ventana ordinaria. Su propósito no es evaluar la aptitud del predio sino estructurar el flujo de trabajo jurídico. La clasificación la realiza el profesional jurídico a partir del paquete documental radicado </w:t>
      </w:r>
      <w:r w:rsidR="001CD88E" w:rsidRPr="0081375C">
        <w:rPr>
          <w:rFonts w:ascii="Arial" w:eastAsia="Arial" w:hAnsi="Arial" w:cs="Arial"/>
          <w:color w:val="000000" w:themeColor="text1"/>
        </w:rPr>
        <w:t xml:space="preserve">relacionado en la </w:t>
      </w:r>
      <w:r w:rsidR="00010873" w:rsidRPr="0081375C">
        <w:rPr>
          <w:rFonts w:ascii="Arial" w:eastAsia="Arial" w:hAnsi="Arial" w:cs="Arial"/>
          <w:color w:val="000000" w:themeColor="text1"/>
        </w:rPr>
        <w:fldChar w:fldCharType="begin"/>
      </w:r>
      <w:r w:rsidR="00010873" w:rsidRPr="0081375C">
        <w:rPr>
          <w:rFonts w:ascii="Arial" w:eastAsia="Arial" w:hAnsi="Arial" w:cs="Arial"/>
          <w:color w:val="000000" w:themeColor="text1"/>
        </w:rPr>
        <w:instrText xml:space="preserve"> REF _Ref234908798 \h </w:instrText>
      </w:r>
      <w:r w:rsidR="00010873" w:rsidRPr="0081375C">
        <w:rPr>
          <w:rFonts w:ascii="Arial" w:eastAsia="Arial" w:hAnsi="Arial" w:cs="Arial"/>
          <w:color w:val="000000" w:themeColor="text1"/>
        </w:rPr>
      </w:r>
      <w:r w:rsidR="0081375C">
        <w:rPr>
          <w:rFonts w:ascii="Arial" w:eastAsia="Arial" w:hAnsi="Arial" w:cs="Arial"/>
          <w:color w:val="000000" w:themeColor="text1"/>
        </w:rPr>
        <w:instrText xml:space="preserve"> \* MERGEFORMAT </w:instrText>
      </w:r>
      <w:r w:rsidR="00010873" w:rsidRPr="0081375C">
        <w:rPr>
          <w:rFonts w:ascii="Arial" w:eastAsia="Arial" w:hAnsi="Arial" w:cs="Arial"/>
          <w:color w:val="000000" w:themeColor="text1"/>
        </w:rPr>
        <w:fldChar w:fldCharType="separate"/>
      </w:r>
      <w:r w:rsidR="00010873" w:rsidRPr="0081375C">
        <w:rPr>
          <w:rFonts w:ascii="Arial" w:hAnsi="Arial" w:cs="Arial"/>
          <w:b/>
          <w:bCs/>
          <w:color w:val="000000" w:themeColor="text1"/>
          <w:sz w:val="20"/>
          <w:szCs w:val="20"/>
        </w:rPr>
        <w:t xml:space="preserve">Tabla </w:t>
      </w:r>
      <w:r w:rsidR="00010873" w:rsidRPr="0081375C">
        <w:rPr>
          <w:rFonts w:ascii="Arial" w:hAnsi="Arial" w:cs="Arial"/>
          <w:b/>
          <w:bCs/>
          <w:noProof/>
          <w:color w:val="000000" w:themeColor="text1"/>
          <w:sz w:val="20"/>
          <w:szCs w:val="20"/>
        </w:rPr>
        <w:t>21</w:t>
      </w:r>
      <w:r w:rsidR="00010873" w:rsidRPr="0081375C">
        <w:rPr>
          <w:rFonts w:ascii="Arial" w:eastAsia="Arial" w:hAnsi="Arial" w:cs="Arial"/>
          <w:color w:val="000000" w:themeColor="text1"/>
        </w:rPr>
        <w:fldChar w:fldCharType="end"/>
      </w:r>
      <w:r w:rsidR="00010873" w:rsidRPr="0081375C">
        <w:rPr>
          <w:rFonts w:ascii="Arial" w:eastAsia="Arial" w:hAnsi="Arial" w:cs="Arial"/>
          <w:color w:val="000000" w:themeColor="text1"/>
        </w:rPr>
        <w:t>.</w:t>
      </w:r>
    </w:p>
    <w:p w14:paraId="3D127CAD" w14:textId="77777777" w:rsidR="00C06090" w:rsidRPr="0081375C" w:rsidRDefault="00C06090" w:rsidP="003F6B53">
      <w:pPr>
        <w:spacing w:line="23" w:lineRule="atLeast"/>
        <w:jc w:val="both"/>
        <w:rPr>
          <w:rFonts w:ascii="Arial" w:eastAsia="Aptos" w:hAnsi="Arial" w:cs="Arial"/>
          <w:color w:val="000000" w:themeColor="text1"/>
        </w:rPr>
      </w:pPr>
    </w:p>
    <w:p w14:paraId="78C681B2" w14:textId="5C170C26"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Para cada postulación, el profesional examina dos aspectos: la estructura de propiedad del predio (número de titulares, tipo de persona, figura jurídica de tenencia) y el estado del certificado de tradición y libertad (presencia de falsa tradición, ventas parciales sin </w:t>
      </w:r>
      <w:proofErr w:type="spellStart"/>
      <w:r w:rsidRPr="0081375C">
        <w:rPr>
          <w:rFonts w:ascii="Arial" w:eastAsia="Arial" w:hAnsi="Arial" w:cs="Arial"/>
          <w:color w:val="000000" w:themeColor="text1"/>
        </w:rPr>
        <w:t>desenglobe</w:t>
      </w:r>
      <w:proofErr w:type="spellEnd"/>
      <w:r w:rsidRPr="0081375C">
        <w:rPr>
          <w:rFonts w:ascii="Arial" w:eastAsia="Arial" w:hAnsi="Arial" w:cs="Arial"/>
          <w:color w:val="000000" w:themeColor="text1"/>
        </w:rPr>
        <w:t>, gravámenes o medidas cautelares, aclaraciones sobre área, linderos o titular). Con base en ese examen asigna la postulación a uno de los tres tipos, documentando las situaciones que motivaron la decisión.</w:t>
      </w:r>
    </w:p>
    <w:p w14:paraId="5537EC8D" w14:textId="77777777" w:rsidR="00C06090" w:rsidRPr="0081375C" w:rsidRDefault="00C06090" w:rsidP="003F6B53">
      <w:pPr>
        <w:spacing w:line="23" w:lineRule="atLeast"/>
        <w:jc w:val="both"/>
        <w:rPr>
          <w:rFonts w:ascii="Arial" w:eastAsia="Arial" w:hAnsi="Arial" w:cs="Arial"/>
          <w:color w:val="000000" w:themeColor="text1"/>
        </w:rPr>
      </w:pPr>
    </w:p>
    <w:p w14:paraId="4826CE7A" w14:textId="13CBEB0D" w:rsidR="00C06090"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Las postulaciones cuya clasificación no resulte evidente al profesional jurídico se asignan por defecto al Tipo 2. Una vez clasificadas todas las postulaciones del lote, el profesional jurídico consolida el listado clasificado con número de proceso (CBML), tipo asignado y situaciones documentadas por predio. A partir de este listado es posible organizar el cronograma de procesamiento que se retoma en la evaluación jurídica de fondo.</w:t>
      </w:r>
    </w:p>
    <w:p w14:paraId="79BF77D8" w14:textId="77777777" w:rsidR="00825D4D" w:rsidRPr="0081375C" w:rsidRDefault="00825D4D" w:rsidP="003F6B53">
      <w:pPr>
        <w:spacing w:line="23" w:lineRule="atLeast"/>
        <w:jc w:val="both"/>
        <w:rPr>
          <w:rFonts w:ascii="Arial" w:eastAsia="Aptos" w:hAnsi="Arial" w:cs="Arial"/>
          <w:color w:val="000000" w:themeColor="text1"/>
        </w:rPr>
      </w:pPr>
    </w:p>
    <w:p w14:paraId="2A6472D5" w14:textId="77777777" w:rsidR="00010873" w:rsidRPr="0081375C" w:rsidRDefault="00010873" w:rsidP="003F6B53">
      <w:pPr>
        <w:spacing w:line="23" w:lineRule="atLeast"/>
        <w:jc w:val="both"/>
        <w:rPr>
          <w:rFonts w:ascii="Arial" w:eastAsia="Aptos" w:hAnsi="Arial" w:cs="Arial"/>
          <w:color w:val="000000" w:themeColor="text1"/>
        </w:rPr>
      </w:pPr>
    </w:p>
    <w:p w14:paraId="23471F11" w14:textId="04ED8818" w:rsidR="009D16BB" w:rsidRPr="0081375C" w:rsidRDefault="00806784" w:rsidP="751229EA">
      <w:pPr>
        <w:spacing w:line="23" w:lineRule="atLeast"/>
        <w:jc w:val="both"/>
        <w:rPr>
          <w:rFonts w:ascii="Arial" w:hAnsi="Arial" w:cs="Arial"/>
          <w:b/>
          <w:bCs/>
          <w:color w:val="000000" w:themeColor="text1"/>
          <w:sz w:val="20"/>
          <w:szCs w:val="20"/>
        </w:rPr>
      </w:pPr>
      <w:bookmarkStart w:id="61" w:name="_Ref234908798"/>
      <w:bookmarkStart w:id="62" w:name="_Toc233040669"/>
      <w:r w:rsidRPr="0081375C">
        <w:rPr>
          <w:rFonts w:ascii="Arial" w:hAnsi="Arial" w:cs="Arial"/>
          <w:b/>
          <w:bCs/>
          <w:color w:val="000000" w:themeColor="text1"/>
          <w:sz w:val="20"/>
          <w:szCs w:val="20"/>
        </w:rPr>
        <w:lastRenderedPageBreak/>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21</w:t>
      </w:r>
      <w:r w:rsidRPr="0081375C">
        <w:rPr>
          <w:rFonts w:ascii="Arial" w:hAnsi="Arial" w:cs="Arial"/>
          <w:b/>
          <w:bCs/>
          <w:color w:val="000000" w:themeColor="text1"/>
          <w:sz w:val="20"/>
          <w:szCs w:val="20"/>
        </w:rPr>
        <w:fldChar w:fldCharType="end"/>
      </w:r>
      <w:bookmarkEnd w:id="61"/>
      <w:r w:rsidRPr="0081375C">
        <w:rPr>
          <w:rFonts w:ascii="Arial" w:hAnsi="Arial" w:cs="Arial"/>
          <w:b/>
          <w:bCs/>
          <w:color w:val="000000" w:themeColor="text1"/>
          <w:sz w:val="20"/>
          <w:szCs w:val="20"/>
        </w:rPr>
        <w:t xml:space="preserve"> </w:t>
      </w:r>
      <w:r w:rsidR="1DC73C02" w:rsidRPr="0081375C">
        <w:rPr>
          <w:rFonts w:ascii="Arial" w:hAnsi="Arial" w:cs="Arial"/>
          <w:b/>
          <w:bCs/>
          <w:color w:val="000000" w:themeColor="text1"/>
          <w:sz w:val="20"/>
          <w:szCs w:val="20"/>
        </w:rPr>
        <w:t>Categorías de la evaluación documental preliminar</w:t>
      </w:r>
      <w:bookmarkEnd w:id="62"/>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846"/>
        <w:gridCol w:w="1701"/>
        <w:gridCol w:w="6089"/>
      </w:tblGrid>
      <w:tr w:rsidR="00825D4D" w:rsidRPr="0081375C" w14:paraId="7D18E729" w14:textId="77777777" w:rsidTr="00172FB5">
        <w:trPr>
          <w:trHeight w:val="20"/>
          <w:tblHead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A5BA29"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Tipo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3B3BA"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Denominación</w:t>
            </w:r>
          </w:p>
        </w:tc>
        <w:tc>
          <w:tcPr>
            <w:tcW w:w="60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2B1B9"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Indicadores orientadores</w:t>
            </w:r>
          </w:p>
        </w:tc>
      </w:tr>
      <w:tr w:rsidR="00825D4D" w:rsidRPr="0081375C" w14:paraId="4F3E6270" w14:textId="77777777" w:rsidTr="00010873">
        <w:trPr>
          <w:trHeight w:val="932"/>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911BF"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Tipo 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DA9DFC"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Rápida</w:t>
            </w:r>
          </w:p>
        </w:tc>
        <w:tc>
          <w:tcPr>
            <w:tcW w:w="60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EB9EF8" w14:textId="7DBDFE43"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Propietario único, persona natural; certificado de tradición y libertad sin gravámenes vigentes ni anotaciones problemáticas; coherencia entre área registral y catastral; escritura clara y reciente; cadena de tradición sin saltos; documentación de identidad y habeas data completa</w:t>
            </w:r>
            <w:r w:rsidR="660CDC48" w:rsidRPr="0081375C">
              <w:rPr>
                <w:rFonts w:ascii="Arial" w:eastAsia="Arial" w:hAnsi="Arial" w:cs="Arial"/>
                <w:color w:val="000000" w:themeColor="text1"/>
                <w:sz w:val="20"/>
                <w:szCs w:val="20"/>
              </w:rPr>
              <w:t>.</w:t>
            </w:r>
          </w:p>
        </w:tc>
      </w:tr>
      <w:tr w:rsidR="00825D4D" w:rsidRPr="0081375C" w14:paraId="7573D2EB" w14:textId="77777777" w:rsidTr="00172FB5">
        <w:trPr>
          <w:trHeight w:val="20"/>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3546E"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Tipo 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DACF76"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Normal</w:t>
            </w:r>
          </w:p>
        </w:tc>
        <w:tc>
          <w:tcPr>
            <w:tcW w:w="60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5B0FD"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Dos o tres copropietarios identificables con poderes resueltos o resolubles; gravámenes estándar </w:t>
            </w:r>
            <w:proofErr w:type="spellStart"/>
            <w:r w:rsidRPr="0081375C">
              <w:rPr>
                <w:rFonts w:ascii="Arial" w:eastAsia="Arial" w:hAnsi="Arial" w:cs="Arial"/>
                <w:color w:val="000000" w:themeColor="text1"/>
                <w:sz w:val="20"/>
                <w:szCs w:val="20"/>
              </w:rPr>
              <w:t>saneables</w:t>
            </w:r>
            <w:proofErr w:type="spellEnd"/>
            <w:r w:rsidRPr="0081375C">
              <w:rPr>
                <w:rFonts w:ascii="Arial" w:eastAsia="Arial" w:hAnsi="Arial" w:cs="Arial"/>
                <w:color w:val="000000" w:themeColor="text1"/>
                <w:sz w:val="20"/>
                <w:szCs w:val="20"/>
              </w:rPr>
              <w:t xml:space="preserve"> (hipoteca con paz y salvo posible, embargo </w:t>
            </w:r>
            <w:proofErr w:type="spellStart"/>
            <w:r w:rsidRPr="0081375C">
              <w:rPr>
                <w:rFonts w:ascii="Arial" w:eastAsia="Arial" w:hAnsi="Arial" w:cs="Arial"/>
                <w:color w:val="000000" w:themeColor="text1"/>
                <w:sz w:val="20"/>
                <w:szCs w:val="20"/>
              </w:rPr>
              <w:t>levantable</w:t>
            </w:r>
            <w:proofErr w:type="spellEnd"/>
            <w:r w:rsidRPr="0081375C">
              <w:rPr>
                <w:rFonts w:ascii="Arial" w:eastAsia="Arial" w:hAnsi="Arial" w:cs="Arial"/>
                <w:color w:val="000000" w:themeColor="text1"/>
                <w:sz w:val="20"/>
                <w:szCs w:val="20"/>
              </w:rPr>
              <w:t>); persona jurídica con junta directiva pequeña; aclaraciones menores en folio de matrícula; documentación parcialmente incompleta pero subsanable</w:t>
            </w:r>
          </w:p>
        </w:tc>
      </w:tr>
      <w:tr w:rsidR="00825D4D" w:rsidRPr="0081375C" w14:paraId="19062122" w14:textId="77777777" w:rsidTr="00172FB5">
        <w:trPr>
          <w:trHeight w:val="20"/>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6F689F"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Tipo 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0D814B" w14:textId="77777777"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Compleja</w:t>
            </w:r>
          </w:p>
        </w:tc>
        <w:tc>
          <w:tcPr>
            <w:tcW w:w="60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5D285" w14:textId="07E3EBFA" w:rsidR="00825D4D" w:rsidRPr="0081375C" w:rsidRDefault="00806784" w:rsidP="00F009C3">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Falsa tradición en la cadena registral; sucesión ilíquida con herederos no localizables o menores; copropiedad con alto número de comuneros o conflictos entre ellos; ventas parciales sin </w:t>
            </w:r>
            <w:proofErr w:type="spellStart"/>
            <w:r w:rsidRPr="0081375C">
              <w:rPr>
                <w:rFonts w:ascii="Arial" w:eastAsia="Arial" w:hAnsi="Arial" w:cs="Arial"/>
                <w:color w:val="000000" w:themeColor="text1"/>
                <w:sz w:val="20"/>
                <w:szCs w:val="20"/>
              </w:rPr>
              <w:t>desenglobe</w:t>
            </w:r>
            <w:proofErr w:type="spellEnd"/>
            <w:r w:rsidRPr="0081375C">
              <w:rPr>
                <w:rFonts w:ascii="Arial" w:eastAsia="Arial" w:hAnsi="Arial" w:cs="Arial"/>
                <w:color w:val="000000" w:themeColor="text1"/>
                <w:sz w:val="20"/>
                <w:szCs w:val="20"/>
              </w:rPr>
              <w:t xml:space="preserve"> formal; discrepancias significativas catastro-registro en área, linderos o nomenclatura; posesión sin título u ocupación de baldío con prueba documental débil; persona jurídica con junta directiva grande; antecedentes de procesos judiciales o administrativos sobre el predio</w:t>
            </w:r>
            <w:r w:rsidR="3970205C" w:rsidRPr="0081375C">
              <w:rPr>
                <w:rFonts w:ascii="Arial" w:eastAsia="Arial" w:hAnsi="Arial" w:cs="Arial"/>
                <w:color w:val="000000" w:themeColor="text1"/>
                <w:sz w:val="20"/>
                <w:szCs w:val="20"/>
              </w:rPr>
              <w:t>.</w:t>
            </w:r>
          </w:p>
        </w:tc>
      </w:tr>
    </w:tbl>
    <w:p w14:paraId="63CC9CA3" w14:textId="77777777" w:rsidR="00C06090" w:rsidRPr="0081375C" w:rsidRDefault="00C06090" w:rsidP="00C06090">
      <w:pPr>
        <w:rPr>
          <w:rFonts w:ascii="Arial" w:hAnsi="Arial" w:cs="Arial"/>
        </w:rPr>
      </w:pPr>
    </w:p>
    <w:p w14:paraId="61CC8959" w14:textId="4B4A3FA1"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63" w:name="_Toc233304180"/>
      <w:r w:rsidRPr="0081375C">
        <w:rPr>
          <w:rFonts w:eastAsia="Aptos" w:cs="Arial"/>
          <w:bCs/>
          <w:color w:val="000000" w:themeColor="text1"/>
        </w:rPr>
        <w:t xml:space="preserve">Evaluación </w:t>
      </w:r>
      <w:r w:rsidR="00300692" w:rsidRPr="0081375C">
        <w:rPr>
          <w:rFonts w:eastAsia="Aptos" w:cs="Arial"/>
          <w:bCs/>
          <w:color w:val="000000" w:themeColor="text1"/>
        </w:rPr>
        <w:t>J</w:t>
      </w:r>
      <w:r w:rsidRPr="0081375C">
        <w:rPr>
          <w:rFonts w:eastAsia="Aptos" w:cs="Arial"/>
          <w:bCs/>
          <w:color w:val="000000" w:themeColor="text1"/>
        </w:rPr>
        <w:t>urídica</w:t>
      </w:r>
      <w:bookmarkEnd w:id="63"/>
    </w:p>
    <w:p w14:paraId="7637520F" w14:textId="77777777" w:rsidR="00C06090" w:rsidRPr="0081375C" w:rsidRDefault="00C06090" w:rsidP="00C06090">
      <w:pPr>
        <w:rPr>
          <w:rFonts w:ascii="Arial" w:hAnsi="Arial" w:cs="Arial"/>
        </w:rPr>
      </w:pPr>
    </w:p>
    <w:p w14:paraId="59F77932" w14:textId="30A48E38"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evaluación jurídica determina si cada predio postulado está en condiciones de ingresar al esquema desde el punto de vista del derecho. Para ello analiza la relación jurídica del solicitante con el predio, el estado de libre disposición del bien, la ausencia de vínculos con tenencia violenta o desplazamiento forzado, y los antecedentes del titular. El resultado es un concepto jurídico por predio (positivo o negativo), formalizado en el </w:t>
      </w:r>
      <w:r w:rsidR="14D85465" w:rsidRPr="0081375C">
        <w:rPr>
          <w:rFonts w:ascii="Arial" w:hAnsi="Arial" w:cs="Arial"/>
          <w:b/>
          <w:bCs/>
          <w:i/>
          <w:iCs/>
          <w:color w:val="000000" w:themeColor="text1"/>
        </w:rPr>
        <w:t>FO-GEAM</w:t>
      </w:r>
      <w:r w:rsidRPr="0081375C">
        <w:rPr>
          <w:rFonts w:ascii="Arial" w:hAnsi="Arial" w:cs="Arial"/>
          <w:b/>
          <w:bCs/>
          <w:i/>
          <w:iCs/>
          <w:color w:val="000000" w:themeColor="text1"/>
        </w:rPr>
        <w:t xml:space="preserve"> Evaluación Jurídica Predios Postulados al Pago por Servicios Ambientales</w:t>
      </w:r>
      <w:r w:rsidRPr="0081375C">
        <w:rPr>
          <w:rFonts w:ascii="Arial" w:eastAsia="Arial" w:hAnsi="Arial" w:cs="Arial"/>
          <w:color w:val="000000" w:themeColor="text1"/>
        </w:rPr>
        <w:t>, que habilita o excluye el predio de la evaluación técnica.</w:t>
      </w:r>
    </w:p>
    <w:p w14:paraId="0ACF3450" w14:textId="77777777" w:rsidR="00C06090" w:rsidRPr="0081375C" w:rsidRDefault="00C06090" w:rsidP="003F6B53">
      <w:pPr>
        <w:spacing w:line="23" w:lineRule="atLeast"/>
        <w:jc w:val="both"/>
        <w:rPr>
          <w:rFonts w:ascii="Arial" w:eastAsia="Arial" w:hAnsi="Arial" w:cs="Arial"/>
          <w:color w:val="000000" w:themeColor="text1"/>
        </w:rPr>
      </w:pPr>
    </w:p>
    <w:p w14:paraId="7566BCA4" w14:textId="77777777" w:rsidR="00C06090"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evaluación no opera como una transferencia única al final del período de convocatoria: recibe el listado clasificado y procesa las postulaciones en bloques organizados por tipo, entregando al equipo de campo predios con concepto positivo de forma continua para que las visitas técnicas puedan iniciarse en paralelo sin esperar el cierre jurídico total</w:t>
      </w:r>
      <w:r w:rsidR="00C06090" w:rsidRPr="0081375C">
        <w:rPr>
          <w:rFonts w:ascii="Arial" w:eastAsia="Arial" w:hAnsi="Arial" w:cs="Arial"/>
          <w:color w:val="000000" w:themeColor="text1"/>
        </w:rPr>
        <w:t>.</w:t>
      </w:r>
    </w:p>
    <w:p w14:paraId="4FA62853" w14:textId="0842494D" w:rsidR="00825D4D" w:rsidRPr="0081375C" w:rsidRDefault="00825D4D" w:rsidP="003F6B53">
      <w:pPr>
        <w:spacing w:line="23" w:lineRule="atLeast"/>
        <w:jc w:val="both"/>
        <w:rPr>
          <w:rFonts w:ascii="Arial" w:eastAsia="Aptos" w:hAnsi="Arial" w:cs="Arial"/>
          <w:color w:val="000000" w:themeColor="text1"/>
        </w:rPr>
      </w:pPr>
    </w:p>
    <w:p w14:paraId="3465D750" w14:textId="683FBE09"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la siguiente tabla se describe el cronograma de bloques a partir </w:t>
      </w:r>
      <w:r w:rsidR="53ABCE9C" w:rsidRPr="0081375C">
        <w:rPr>
          <w:rFonts w:ascii="Arial" w:eastAsia="Arial" w:hAnsi="Arial" w:cs="Arial"/>
          <w:color w:val="000000" w:themeColor="text1"/>
        </w:rPr>
        <w:t>de</w:t>
      </w:r>
      <w:r w:rsidR="14FCA81D" w:rsidRPr="0081375C">
        <w:rPr>
          <w:rFonts w:ascii="Arial" w:eastAsia="Arial" w:hAnsi="Arial" w:cs="Arial"/>
          <w:color w:val="000000" w:themeColor="text1"/>
        </w:rPr>
        <w:t>l cierre de las actividades</w:t>
      </w:r>
      <w:r w:rsidRPr="0081375C">
        <w:rPr>
          <w:rFonts w:ascii="Arial" w:eastAsia="Arial" w:hAnsi="Arial" w:cs="Arial"/>
          <w:color w:val="000000" w:themeColor="text1"/>
        </w:rPr>
        <w:t xml:space="preserve"> de </w:t>
      </w:r>
      <w:r w:rsidR="725D80D8" w:rsidRPr="0081375C">
        <w:rPr>
          <w:rFonts w:ascii="Arial" w:eastAsia="Arial" w:hAnsi="Arial" w:cs="Arial"/>
          <w:color w:val="000000" w:themeColor="text1"/>
        </w:rPr>
        <w:t>conv</w:t>
      </w:r>
      <w:r w:rsidR="00722E2B" w:rsidRPr="0081375C">
        <w:rPr>
          <w:rFonts w:ascii="Arial" w:eastAsia="Arial" w:hAnsi="Arial" w:cs="Arial"/>
          <w:color w:val="000000" w:themeColor="text1"/>
        </w:rPr>
        <w:t>o</w:t>
      </w:r>
      <w:r w:rsidR="725D80D8" w:rsidRPr="0081375C">
        <w:rPr>
          <w:rFonts w:ascii="Arial" w:eastAsia="Arial" w:hAnsi="Arial" w:cs="Arial"/>
          <w:color w:val="000000" w:themeColor="text1"/>
        </w:rPr>
        <w:t>catoria</w:t>
      </w:r>
      <w:r w:rsidR="53ABCE9C" w:rsidRPr="0081375C">
        <w:rPr>
          <w:rFonts w:ascii="Arial" w:eastAsia="Arial" w:hAnsi="Arial" w:cs="Arial"/>
          <w:color w:val="000000" w:themeColor="text1"/>
        </w:rPr>
        <w:t>.</w:t>
      </w:r>
      <w:r w:rsidRPr="0081375C">
        <w:rPr>
          <w:rFonts w:ascii="Arial" w:eastAsia="Arial" w:hAnsi="Arial" w:cs="Arial"/>
          <w:color w:val="000000" w:themeColor="text1"/>
        </w:rPr>
        <w:t xml:space="preserve"> Los plazos establecidos se entienden como un calendario máximo. La responsabilidad de la ejecución de los tiempos recae sobre el operador.</w:t>
      </w:r>
    </w:p>
    <w:p w14:paraId="71182E5B" w14:textId="77777777" w:rsidR="00C06090" w:rsidRPr="0081375C" w:rsidRDefault="00C06090" w:rsidP="003F6B53">
      <w:pPr>
        <w:spacing w:line="23" w:lineRule="atLeast"/>
        <w:jc w:val="both"/>
        <w:rPr>
          <w:rFonts w:ascii="Arial" w:eastAsia="Arial" w:hAnsi="Arial" w:cs="Arial"/>
          <w:color w:val="000000" w:themeColor="text1"/>
        </w:rPr>
      </w:pPr>
    </w:p>
    <w:p w14:paraId="45F0BD69" w14:textId="77777777" w:rsidR="00010873" w:rsidRPr="0081375C" w:rsidRDefault="00010873" w:rsidP="003F6B53">
      <w:pPr>
        <w:spacing w:line="23" w:lineRule="atLeast"/>
        <w:jc w:val="both"/>
        <w:rPr>
          <w:rFonts w:ascii="Arial" w:eastAsia="Arial" w:hAnsi="Arial" w:cs="Arial"/>
          <w:color w:val="000000" w:themeColor="text1"/>
        </w:rPr>
      </w:pPr>
    </w:p>
    <w:p w14:paraId="37320033" w14:textId="77777777" w:rsidR="00010873" w:rsidRPr="0081375C" w:rsidRDefault="00010873" w:rsidP="003F6B53">
      <w:pPr>
        <w:spacing w:line="23" w:lineRule="atLeast"/>
        <w:jc w:val="both"/>
        <w:rPr>
          <w:rFonts w:ascii="Arial" w:eastAsia="Arial" w:hAnsi="Arial" w:cs="Arial"/>
          <w:color w:val="000000" w:themeColor="text1"/>
        </w:rPr>
      </w:pPr>
    </w:p>
    <w:p w14:paraId="4EBD03F5" w14:textId="02F6FC44" w:rsidR="00825D4D" w:rsidRPr="0081375C" w:rsidRDefault="00806784" w:rsidP="003F6B53">
      <w:pPr>
        <w:spacing w:line="23" w:lineRule="atLeast"/>
        <w:jc w:val="both"/>
        <w:rPr>
          <w:rFonts w:ascii="Arial" w:hAnsi="Arial" w:cs="Arial"/>
          <w:b/>
          <w:bCs/>
          <w:color w:val="000000" w:themeColor="text1"/>
          <w:sz w:val="20"/>
          <w:szCs w:val="20"/>
        </w:rPr>
      </w:pPr>
      <w:bookmarkStart w:id="64" w:name="_Ref231482541"/>
      <w:bookmarkStart w:id="65" w:name="_Toc233040670"/>
      <w:r w:rsidRPr="0081375C">
        <w:rPr>
          <w:rFonts w:ascii="Arial" w:hAnsi="Arial" w:cs="Arial"/>
          <w:b/>
          <w:bCs/>
          <w:color w:val="000000" w:themeColor="text1"/>
          <w:sz w:val="20"/>
          <w:szCs w:val="20"/>
        </w:rPr>
        <w:lastRenderedPageBreak/>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22</w:t>
      </w:r>
      <w:r w:rsidRPr="0081375C">
        <w:rPr>
          <w:rFonts w:ascii="Arial" w:hAnsi="Arial" w:cs="Arial"/>
          <w:b/>
          <w:bCs/>
          <w:color w:val="000000" w:themeColor="text1"/>
          <w:sz w:val="20"/>
          <w:szCs w:val="20"/>
        </w:rPr>
        <w:fldChar w:fldCharType="end"/>
      </w:r>
      <w:r w:rsidR="00F742B6" w:rsidRPr="0081375C">
        <w:rPr>
          <w:rFonts w:ascii="Arial" w:hAnsi="Arial" w:cs="Arial"/>
          <w:b/>
          <w:bCs/>
          <w:color w:val="000000" w:themeColor="text1"/>
          <w:sz w:val="20"/>
          <w:szCs w:val="20"/>
        </w:rPr>
        <w:t xml:space="preserve">. </w:t>
      </w:r>
      <w:r w:rsidRPr="0081375C">
        <w:rPr>
          <w:rFonts w:ascii="Arial" w:hAnsi="Arial" w:cs="Arial"/>
          <w:b/>
          <w:bCs/>
          <w:color w:val="000000" w:themeColor="text1"/>
          <w:sz w:val="20"/>
          <w:szCs w:val="20"/>
        </w:rPr>
        <w:t>Cronograma de evaluaciones jurídicas</w:t>
      </w:r>
      <w:bookmarkEnd w:id="64"/>
      <w:bookmarkEnd w:id="65"/>
    </w:p>
    <w:tbl>
      <w:tblPr>
        <w:tblW w:w="8626" w:type="dxa"/>
        <w:tblLayout w:type="fixed"/>
        <w:tblCellMar>
          <w:top w:w="100" w:type="dxa"/>
          <w:left w:w="100" w:type="dxa"/>
          <w:bottom w:w="100" w:type="dxa"/>
          <w:right w:w="100" w:type="dxa"/>
        </w:tblCellMar>
        <w:tblLook w:val="0600" w:firstRow="0" w:lastRow="0" w:firstColumn="0" w:lastColumn="0" w:noHBand="1" w:noVBand="1"/>
      </w:tblPr>
      <w:tblGrid>
        <w:gridCol w:w="2121"/>
        <w:gridCol w:w="2694"/>
        <w:gridCol w:w="3811"/>
      </w:tblGrid>
      <w:tr w:rsidR="00825D4D" w:rsidRPr="0081375C" w14:paraId="1070BEC9" w14:textId="77777777" w:rsidTr="00F93D88">
        <w:trPr>
          <w:trHeight w:val="20"/>
          <w:tblHeader/>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4DAC44" w14:textId="7777777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Bloque</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D67382" w14:textId="7777777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Período</w:t>
            </w:r>
          </w:p>
        </w:tc>
        <w:tc>
          <w:tcPr>
            <w:tcW w:w="3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1A3505" w14:textId="7777777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r>
      <w:tr w:rsidR="00825D4D" w:rsidRPr="0081375C" w14:paraId="3BB77497" w14:textId="77777777" w:rsidTr="00F93D88">
        <w:trPr>
          <w:trHeight w:val="20"/>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53E0D0" w14:textId="7777777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Evaluación preliminar</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E46374" w14:textId="06FA09E7" w:rsidR="00825D4D" w:rsidRPr="0081375C" w:rsidRDefault="005C1204"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5 días hábiles</w:t>
            </w:r>
            <w:r w:rsidR="1E8D1623" w:rsidRPr="0081375C">
              <w:rPr>
                <w:rFonts w:ascii="Arial" w:eastAsia="Arial" w:hAnsi="Arial" w:cs="Arial"/>
                <w:color w:val="000000" w:themeColor="text1"/>
                <w:sz w:val="20"/>
                <w:szCs w:val="20"/>
              </w:rPr>
              <w:t xml:space="preserve"> desde el cierre de la</w:t>
            </w:r>
            <w:r w:rsidR="3E287D50" w:rsidRPr="0081375C">
              <w:rPr>
                <w:rFonts w:ascii="Arial" w:eastAsia="Arial" w:hAnsi="Arial" w:cs="Arial"/>
                <w:color w:val="000000" w:themeColor="text1"/>
                <w:sz w:val="20"/>
                <w:szCs w:val="20"/>
              </w:rPr>
              <w:t>s postulaciones</w:t>
            </w:r>
          </w:p>
        </w:tc>
        <w:tc>
          <w:tcPr>
            <w:tcW w:w="3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C83574" w14:textId="77777777" w:rsidR="00825D4D" w:rsidRPr="0081375C" w:rsidRDefault="00806784"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Clasificación de postulaciones</w:t>
            </w:r>
          </w:p>
        </w:tc>
      </w:tr>
      <w:tr w:rsidR="00825D4D" w:rsidRPr="0081375C" w14:paraId="72EC1B49" w14:textId="77777777" w:rsidTr="00F93D88">
        <w:trPr>
          <w:trHeight w:val="20"/>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008958" w14:textId="7777777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Tipo 1 — Rápida</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A1A932" w14:textId="08022852" w:rsidR="00825D4D" w:rsidRPr="0081375C" w:rsidRDefault="70E24943"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5 días hábiles desde el cierre de la </w:t>
            </w:r>
            <w:r w:rsidR="2200FECD" w:rsidRPr="0081375C">
              <w:rPr>
                <w:rFonts w:ascii="Arial" w:eastAsia="Arial" w:hAnsi="Arial" w:cs="Arial"/>
                <w:color w:val="000000" w:themeColor="text1"/>
                <w:sz w:val="20"/>
                <w:szCs w:val="20"/>
              </w:rPr>
              <w:t xml:space="preserve">evaluación </w:t>
            </w:r>
            <w:r w:rsidRPr="0081375C">
              <w:rPr>
                <w:rFonts w:ascii="Arial" w:eastAsia="Arial" w:hAnsi="Arial" w:cs="Arial"/>
                <w:color w:val="000000" w:themeColor="text1"/>
                <w:sz w:val="20"/>
                <w:szCs w:val="20"/>
              </w:rPr>
              <w:t>preliminar</w:t>
            </w:r>
          </w:p>
        </w:tc>
        <w:tc>
          <w:tcPr>
            <w:tcW w:w="3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4ADCB" w14:textId="2FC2ACB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Evaluación jurídica de fondo; entrega del bloque completo al equipo de campo al cierre.</w:t>
            </w:r>
            <w:r w:rsidR="08F582F5" w:rsidRPr="0081375C">
              <w:rPr>
                <w:rFonts w:ascii="Arial" w:eastAsia="Arial" w:hAnsi="Arial" w:cs="Arial"/>
                <w:color w:val="000000" w:themeColor="text1"/>
                <w:sz w:val="20"/>
                <w:szCs w:val="20"/>
              </w:rPr>
              <w:t xml:space="preserve"> En el Comité se valida el cierre</w:t>
            </w:r>
          </w:p>
        </w:tc>
      </w:tr>
      <w:tr w:rsidR="00825D4D" w:rsidRPr="0081375C" w14:paraId="5A0F70B4" w14:textId="77777777" w:rsidTr="00F93D88">
        <w:trPr>
          <w:trHeight w:val="20"/>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DFB7DA" w14:textId="77777777" w:rsidR="00825D4D" w:rsidRPr="0081375C" w:rsidRDefault="00806784" w:rsidP="00F93D88">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Tipo 2 — Normal</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9D1B9C" w14:textId="392D8FFD" w:rsidR="00825D4D" w:rsidRPr="0081375C" w:rsidRDefault="691CB2AD"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20 días hábiles </w:t>
            </w:r>
            <w:r w:rsidR="0FB3B976" w:rsidRPr="0081375C">
              <w:rPr>
                <w:rFonts w:ascii="Arial" w:eastAsia="Arial" w:hAnsi="Arial" w:cs="Arial"/>
                <w:color w:val="000000" w:themeColor="text1"/>
                <w:sz w:val="20"/>
                <w:szCs w:val="20"/>
              </w:rPr>
              <w:t>después</w:t>
            </w:r>
            <w:r w:rsidRPr="0081375C">
              <w:rPr>
                <w:rFonts w:ascii="Arial" w:eastAsia="Arial" w:hAnsi="Arial" w:cs="Arial"/>
                <w:color w:val="000000" w:themeColor="text1"/>
                <w:sz w:val="20"/>
                <w:szCs w:val="20"/>
              </w:rPr>
              <w:t xml:space="preserve"> de</w:t>
            </w:r>
            <w:r w:rsidR="7257EACF" w:rsidRPr="0081375C">
              <w:rPr>
                <w:rFonts w:ascii="Arial" w:eastAsia="Arial" w:hAnsi="Arial" w:cs="Arial"/>
                <w:color w:val="000000" w:themeColor="text1"/>
                <w:sz w:val="20"/>
                <w:szCs w:val="20"/>
              </w:rPr>
              <w:t xml:space="preserve">l cierre de evaluación </w:t>
            </w:r>
            <w:r w:rsidR="57729E9C" w:rsidRPr="0081375C">
              <w:rPr>
                <w:rFonts w:ascii="Arial" w:eastAsia="Arial" w:hAnsi="Arial" w:cs="Arial"/>
                <w:color w:val="000000" w:themeColor="text1"/>
                <w:sz w:val="20"/>
                <w:szCs w:val="20"/>
              </w:rPr>
              <w:t>T</w:t>
            </w:r>
            <w:r w:rsidR="7257EACF" w:rsidRPr="0081375C">
              <w:rPr>
                <w:rFonts w:ascii="Arial" w:eastAsia="Arial" w:hAnsi="Arial" w:cs="Arial"/>
                <w:color w:val="000000" w:themeColor="text1"/>
                <w:sz w:val="20"/>
                <w:szCs w:val="20"/>
              </w:rPr>
              <w:t>ipo 1</w:t>
            </w:r>
          </w:p>
        </w:tc>
        <w:tc>
          <w:tcPr>
            <w:tcW w:w="3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38FB5A" w14:textId="48A658EF" w:rsidR="00825D4D" w:rsidRPr="0081375C" w:rsidRDefault="1E1F12CE"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Evaluación jurídica; entrega semanal de bloques con concepto completado al equipo de campo, este </w:t>
            </w:r>
            <w:r w:rsidR="0680F471" w:rsidRPr="0081375C">
              <w:rPr>
                <w:rFonts w:ascii="Arial" w:eastAsia="Arial" w:hAnsi="Arial" w:cs="Arial"/>
                <w:color w:val="000000" w:themeColor="text1"/>
                <w:sz w:val="20"/>
                <w:szCs w:val="20"/>
              </w:rPr>
              <w:t>bloque incluye</w:t>
            </w:r>
            <w:r w:rsidRPr="0081375C">
              <w:rPr>
                <w:rFonts w:ascii="Arial" w:eastAsia="Arial" w:hAnsi="Arial" w:cs="Arial"/>
                <w:color w:val="000000" w:themeColor="text1"/>
                <w:sz w:val="20"/>
                <w:szCs w:val="20"/>
              </w:rPr>
              <w:t xml:space="preserve"> hasta 10 días </w:t>
            </w:r>
            <w:r w:rsidR="13F1F490" w:rsidRPr="0081375C">
              <w:rPr>
                <w:rFonts w:ascii="Arial" w:eastAsia="Arial" w:hAnsi="Arial" w:cs="Arial"/>
                <w:color w:val="000000" w:themeColor="text1"/>
                <w:sz w:val="20"/>
                <w:szCs w:val="20"/>
              </w:rPr>
              <w:t>hábiles</w:t>
            </w:r>
            <w:r w:rsidR="18EB103B"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 xml:space="preserve">en caso de que sea necesario. La decisión será tomada por el </w:t>
            </w:r>
            <w:r w:rsidR="00B2666B" w:rsidRPr="0081375C">
              <w:rPr>
                <w:rFonts w:ascii="Arial" w:eastAsia="Arial" w:hAnsi="Arial" w:cs="Arial"/>
                <w:color w:val="000000" w:themeColor="text1"/>
                <w:sz w:val="20"/>
                <w:szCs w:val="20"/>
              </w:rPr>
              <w:t xml:space="preserve">Comité Técnico de Evaluación y Seguimiento </w:t>
            </w:r>
            <w:r w:rsidRPr="0081375C">
              <w:rPr>
                <w:rFonts w:ascii="Arial" w:eastAsia="Arial" w:hAnsi="Arial" w:cs="Arial"/>
                <w:color w:val="000000" w:themeColor="text1"/>
                <w:sz w:val="20"/>
                <w:szCs w:val="20"/>
              </w:rPr>
              <w:t>CTES.</w:t>
            </w:r>
          </w:p>
        </w:tc>
      </w:tr>
      <w:tr w:rsidR="00825D4D" w:rsidRPr="0081375C" w14:paraId="00B091F8" w14:textId="77777777" w:rsidTr="00F93D88">
        <w:trPr>
          <w:trHeight w:val="20"/>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638E65" w14:textId="77777777" w:rsidR="00825D4D" w:rsidRPr="0081375C" w:rsidRDefault="00806784"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Tipo 3 — Compleja</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5A8CD7" w14:textId="56A6986C" w:rsidR="00825D4D" w:rsidRPr="0081375C" w:rsidRDefault="00806784" w:rsidP="729FED67">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25 días hábiles desde el cierre de Tipo 2; </w:t>
            </w:r>
            <w:r w:rsidR="774D2138" w:rsidRPr="0081375C">
              <w:rPr>
                <w:rFonts w:ascii="Arial" w:eastAsia="Arial" w:hAnsi="Arial" w:cs="Arial"/>
                <w:color w:val="000000" w:themeColor="text1"/>
                <w:sz w:val="20"/>
                <w:szCs w:val="20"/>
              </w:rPr>
              <w:t>dentro de</w:t>
            </w:r>
            <w:r w:rsidR="6B454418" w:rsidRPr="0081375C">
              <w:rPr>
                <w:rFonts w:ascii="Arial" w:eastAsia="Arial" w:hAnsi="Arial" w:cs="Arial"/>
                <w:color w:val="000000" w:themeColor="text1"/>
                <w:sz w:val="20"/>
                <w:szCs w:val="20"/>
              </w:rPr>
              <w:t xml:space="preserve"> este </w:t>
            </w:r>
            <w:r w:rsidRPr="0081375C">
              <w:rPr>
                <w:rFonts w:ascii="Arial" w:eastAsia="Arial" w:hAnsi="Arial" w:cs="Arial"/>
                <w:color w:val="000000" w:themeColor="text1"/>
                <w:sz w:val="20"/>
                <w:szCs w:val="20"/>
              </w:rPr>
              <w:t>plazo</w:t>
            </w:r>
            <w:r w:rsidR="2A49177D" w:rsidRPr="0081375C">
              <w:rPr>
                <w:rFonts w:ascii="Arial" w:eastAsia="Arial" w:hAnsi="Arial" w:cs="Arial"/>
                <w:color w:val="000000" w:themeColor="text1"/>
                <w:sz w:val="20"/>
                <w:szCs w:val="20"/>
              </w:rPr>
              <w:t xml:space="preserve"> se genera el</w:t>
            </w:r>
            <w:r w:rsidRPr="0081375C">
              <w:rPr>
                <w:rFonts w:ascii="Arial" w:eastAsia="Arial" w:hAnsi="Arial" w:cs="Arial"/>
                <w:color w:val="000000" w:themeColor="text1"/>
                <w:sz w:val="20"/>
                <w:szCs w:val="20"/>
              </w:rPr>
              <w:t xml:space="preserve"> ultimátum </w:t>
            </w:r>
            <w:r w:rsidR="3BC370DC" w:rsidRPr="0081375C">
              <w:rPr>
                <w:rFonts w:ascii="Arial" w:eastAsia="Arial" w:hAnsi="Arial" w:cs="Arial"/>
                <w:color w:val="000000" w:themeColor="text1"/>
                <w:sz w:val="20"/>
                <w:szCs w:val="20"/>
              </w:rPr>
              <w:t>perentorio</w:t>
            </w:r>
            <w:r w:rsidR="005C1204"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de 10 días hábiles</w:t>
            </w:r>
            <w:r w:rsidR="0B0FBE11" w:rsidRPr="0081375C">
              <w:rPr>
                <w:rFonts w:ascii="Arial" w:eastAsia="Arial" w:hAnsi="Arial" w:cs="Arial"/>
                <w:color w:val="000000" w:themeColor="text1"/>
                <w:sz w:val="20"/>
                <w:szCs w:val="20"/>
              </w:rPr>
              <w:t xml:space="preserve"> tras</w:t>
            </w:r>
            <w:r w:rsidR="70632737" w:rsidRPr="0081375C">
              <w:rPr>
                <w:rFonts w:ascii="Arial" w:eastAsia="Arial" w:hAnsi="Arial" w:cs="Arial"/>
                <w:color w:val="000000" w:themeColor="text1"/>
                <w:sz w:val="20"/>
                <w:szCs w:val="20"/>
              </w:rPr>
              <w:t xml:space="preserve"> los </w:t>
            </w:r>
            <w:r w:rsidR="0B0FBE11" w:rsidRPr="0081375C">
              <w:rPr>
                <w:rFonts w:ascii="Arial" w:eastAsia="Arial" w:hAnsi="Arial" w:cs="Arial"/>
                <w:color w:val="000000" w:themeColor="text1"/>
                <w:sz w:val="20"/>
                <w:szCs w:val="20"/>
              </w:rPr>
              <w:t xml:space="preserve">que </w:t>
            </w:r>
            <w:r w:rsidRPr="0081375C">
              <w:rPr>
                <w:rFonts w:ascii="Arial" w:eastAsia="Arial" w:hAnsi="Arial" w:cs="Arial"/>
                <w:color w:val="000000" w:themeColor="text1"/>
                <w:sz w:val="20"/>
                <w:szCs w:val="20"/>
              </w:rPr>
              <w:t xml:space="preserve">se </w:t>
            </w:r>
            <w:r w:rsidR="0B0FBE11" w:rsidRPr="0081375C">
              <w:rPr>
                <w:rFonts w:ascii="Arial" w:eastAsia="Arial" w:hAnsi="Arial" w:cs="Arial"/>
                <w:color w:val="000000" w:themeColor="text1"/>
                <w:sz w:val="20"/>
                <w:szCs w:val="20"/>
              </w:rPr>
              <w:t>hará la evaluación</w:t>
            </w:r>
            <w:r w:rsidRPr="0081375C">
              <w:rPr>
                <w:rFonts w:ascii="Arial" w:eastAsia="Arial" w:hAnsi="Arial" w:cs="Arial"/>
                <w:color w:val="000000" w:themeColor="text1"/>
                <w:sz w:val="20"/>
                <w:szCs w:val="20"/>
              </w:rPr>
              <w:t xml:space="preserve"> con la información disponible</w:t>
            </w:r>
            <w:r w:rsidR="1C4A68B8" w:rsidRPr="0081375C">
              <w:rPr>
                <w:rFonts w:ascii="Arial" w:eastAsia="Arial" w:hAnsi="Arial" w:cs="Arial"/>
                <w:color w:val="000000" w:themeColor="text1"/>
                <w:sz w:val="20"/>
                <w:szCs w:val="20"/>
              </w:rPr>
              <w:t>.</w:t>
            </w:r>
          </w:p>
        </w:tc>
        <w:tc>
          <w:tcPr>
            <w:tcW w:w="38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9C6E9" w14:textId="2171BC23" w:rsidR="00825D4D" w:rsidRPr="0081375C" w:rsidRDefault="402265CC" w:rsidP="00F93D8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E</w:t>
            </w:r>
            <w:r w:rsidR="460F9607" w:rsidRPr="0081375C">
              <w:rPr>
                <w:rFonts w:ascii="Arial" w:eastAsia="Arial" w:hAnsi="Arial" w:cs="Arial"/>
                <w:color w:val="000000" w:themeColor="text1"/>
                <w:sz w:val="20"/>
                <w:szCs w:val="20"/>
              </w:rPr>
              <w:t>valuación jurídica</w:t>
            </w:r>
            <w:r w:rsidRPr="0081375C">
              <w:rPr>
                <w:rFonts w:ascii="Arial" w:eastAsia="Arial" w:hAnsi="Arial" w:cs="Arial"/>
                <w:color w:val="000000" w:themeColor="text1"/>
                <w:sz w:val="20"/>
                <w:szCs w:val="20"/>
              </w:rPr>
              <w:t xml:space="preserve"> de </w:t>
            </w:r>
            <w:r w:rsidR="460F9607" w:rsidRPr="0081375C">
              <w:rPr>
                <w:rFonts w:ascii="Arial" w:eastAsia="Arial" w:hAnsi="Arial" w:cs="Arial"/>
                <w:color w:val="000000" w:themeColor="text1"/>
                <w:sz w:val="20"/>
                <w:szCs w:val="20"/>
              </w:rPr>
              <w:t>situaciones complejas</w:t>
            </w:r>
            <w:r w:rsidR="2E0C4966" w:rsidRPr="0081375C">
              <w:rPr>
                <w:rFonts w:ascii="Arial" w:eastAsia="Arial" w:hAnsi="Arial" w:cs="Arial"/>
                <w:color w:val="000000" w:themeColor="text1"/>
                <w:sz w:val="20"/>
                <w:szCs w:val="20"/>
              </w:rPr>
              <w:t xml:space="preserve">. </w:t>
            </w:r>
            <w:r w:rsidR="00806784" w:rsidRPr="0081375C">
              <w:rPr>
                <w:rFonts w:ascii="Arial" w:eastAsia="Arial" w:hAnsi="Arial" w:cs="Arial"/>
                <w:color w:val="000000" w:themeColor="text1"/>
                <w:sz w:val="20"/>
                <w:szCs w:val="20"/>
              </w:rPr>
              <w:t>Tras el vencimiento del ultimátum se hace la evaluación final teniendo en cuenta únicamente la información disponible.</w:t>
            </w:r>
          </w:p>
        </w:tc>
      </w:tr>
    </w:tbl>
    <w:p w14:paraId="0372D1A1" w14:textId="19F80810" w:rsidR="00C06090" w:rsidRPr="0081375C" w:rsidRDefault="791173AA" w:rsidP="751229EA">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Nota: </w:t>
      </w:r>
      <w:r w:rsidR="400048F1" w:rsidRPr="0081375C">
        <w:rPr>
          <w:rFonts w:ascii="Arial" w:eastAsia="Arial" w:hAnsi="Arial" w:cs="Arial"/>
          <w:color w:val="000000" w:themeColor="text1"/>
        </w:rPr>
        <w:t>Es posible que las evaluaciones jurídicas se realicen en un menor tiempo total, así como en un menor tiempo por bloque, en función de la calidad y cantidad de las postulaciones, situación que será evaluada en el comité técnico</w:t>
      </w:r>
      <w:r w:rsidR="1D60B306" w:rsidRPr="0081375C">
        <w:rPr>
          <w:rFonts w:ascii="Arial" w:eastAsia="Arial" w:hAnsi="Arial" w:cs="Arial"/>
          <w:color w:val="000000" w:themeColor="text1"/>
        </w:rPr>
        <w:t xml:space="preserve"> para estipular los momentos de corte en cada bloque.</w:t>
      </w:r>
    </w:p>
    <w:p w14:paraId="06B9D052" w14:textId="5DB9D431" w:rsidR="00C06090" w:rsidRPr="0081375C" w:rsidRDefault="26E4B0D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 </w:t>
      </w:r>
    </w:p>
    <w:p w14:paraId="3AF207FA" w14:textId="4E5D6FD0" w:rsidR="00825D4D" w:rsidRPr="0081375C" w:rsidRDefault="5857D71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Las postulaciones marcadas como casos</w:t>
      </w:r>
      <w:r w:rsidR="6B3A5A99" w:rsidRPr="0081375C">
        <w:rPr>
          <w:rFonts w:ascii="Arial" w:eastAsia="Arial" w:hAnsi="Arial" w:cs="Arial"/>
          <w:color w:val="000000" w:themeColor="text1"/>
        </w:rPr>
        <w:t xml:space="preserve"> en duda </w:t>
      </w:r>
      <w:r w:rsidRPr="0081375C">
        <w:rPr>
          <w:rFonts w:ascii="Arial" w:eastAsia="Arial" w:hAnsi="Arial" w:cs="Arial"/>
          <w:color w:val="000000" w:themeColor="text1"/>
        </w:rPr>
        <w:t>ingresan al procesamiento de Tipo 2 con prioridad de revisión: el profesional jurídico las examina en primera instancia para confirmar la asignación o reclasificar h</w:t>
      </w:r>
      <w:r w:rsidR="72DF3FEF" w:rsidRPr="0081375C">
        <w:rPr>
          <w:rFonts w:ascii="Arial" w:eastAsia="Arial" w:hAnsi="Arial" w:cs="Arial"/>
          <w:color w:val="000000" w:themeColor="text1"/>
        </w:rPr>
        <w:t>acia</w:t>
      </w:r>
      <w:r w:rsidRPr="0081375C">
        <w:rPr>
          <w:rFonts w:ascii="Arial" w:eastAsia="Arial" w:hAnsi="Arial" w:cs="Arial"/>
          <w:color w:val="000000" w:themeColor="text1"/>
        </w:rPr>
        <w:t xml:space="preserve"> Tipo 3</w:t>
      </w:r>
      <w:r w:rsidR="0409C172" w:rsidRPr="0081375C">
        <w:rPr>
          <w:rFonts w:ascii="Arial" w:eastAsia="Arial" w:hAnsi="Arial" w:cs="Arial"/>
          <w:color w:val="000000" w:themeColor="text1"/>
        </w:rPr>
        <w:t>,</w:t>
      </w:r>
      <w:r w:rsidRPr="0081375C">
        <w:rPr>
          <w:rFonts w:ascii="Arial" w:eastAsia="Arial" w:hAnsi="Arial" w:cs="Arial"/>
          <w:color w:val="000000" w:themeColor="text1"/>
        </w:rPr>
        <w:t xml:space="preserve"> según corresponda al hallazgo de fondo.</w:t>
      </w:r>
    </w:p>
    <w:p w14:paraId="4CF9D4B9" w14:textId="77777777" w:rsidR="00C06090" w:rsidRPr="0081375C" w:rsidRDefault="00C06090" w:rsidP="003F6B53">
      <w:pPr>
        <w:spacing w:line="23" w:lineRule="atLeast"/>
        <w:jc w:val="both"/>
        <w:rPr>
          <w:rFonts w:ascii="Arial" w:eastAsia="Arial" w:hAnsi="Arial" w:cs="Arial"/>
          <w:color w:val="000000" w:themeColor="text1"/>
        </w:rPr>
      </w:pPr>
    </w:p>
    <w:p w14:paraId="7228C28E"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Durante el procesamiento de cada postulación se verifica: existencia y validez de la relación jurídica del solicitante con el predio; estado del bien respecto a gravámenes, medidas cautelares, demandas o procesos que limiten su libre disposición; ausencia de asociación con desplazamiento forzado u otras formas de tenencia violenta; y antecedentes judiciales, disciplinarios y fiscales del titular o, tratándose de personas jurídicas, de los miembros de la junta directiva.</w:t>
      </w:r>
    </w:p>
    <w:p w14:paraId="20BCBF65" w14:textId="77777777" w:rsidR="00825D4D" w:rsidRPr="0081375C" w:rsidRDefault="00825D4D" w:rsidP="003F6B53">
      <w:pPr>
        <w:spacing w:line="23" w:lineRule="atLeast"/>
        <w:jc w:val="both"/>
        <w:rPr>
          <w:rFonts w:ascii="Arial" w:eastAsia="Aptos" w:hAnsi="Arial" w:cs="Arial"/>
          <w:color w:val="000000" w:themeColor="text1"/>
        </w:rPr>
      </w:pPr>
    </w:p>
    <w:p w14:paraId="04073846"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Cuando la documentación está incompleta para efectuar ese análisis, se emite un requerimiento de subsanación al postulante con un plazo de 10 días hábiles. Al recibir documentación adicional se entrega comprobante con fecha y hora. Si el postulante no </w:t>
      </w:r>
      <w:r w:rsidRPr="0081375C">
        <w:rPr>
          <w:rFonts w:ascii="Arial" w:eastAsia="Arial" w:hAnsi="Arial" w:cs="Arial"/>
          <w:color w:val="000000" w:themeColor="text1"/>
        </w:rPr>
        <w:lastRenderedPageBreak/>
        <w:t>subsana dentro del plazo, la postulación se reclasifica a Tipo 3. Una postulación de Tipo 1 que requiera subsanación pasa a Tipo 2; una de Tipo 2 que exceda la ventana ordinaria sin solución transita a Tipo 3.</w:t>
      </w:r>
    </w:p>
    <w:p w14:paraId="0C88B631" w14:textId="77777777" w:rsidR="00C06090" w:rsidRPr="0081375C" w:rsidRDefault="00C06090" w:rsidP="003F6B53">
      <w:pPr>
        <w:spacing w:line="23" w:lineRule="atLeast"/>
        <w:jc w:val="both"/>
        <w:rPr>
          <w:rFonts w:ascii="Arial" w:eastAsia="Arial" w:hAnsi="Arial" w:cs="Arial"/>
          <w:color w:val="000000" w:themeColor="text1"/>
        </w:rPr>
      </w:pPr>
    </w:p>
    <w:p w14:paraId="45902F60" w14:textId="6CB7A974"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concepto jurídico se comunica al postulante. Si el concepto es negativo, se notifica con claridad sobre la causal y se informa que el solicitante puede postularse en convocatorias futuras si la causal es subsanable. Los predios con concepto negativo o con postulaciones archivadas quedan excluidos del listado que se entrega a campo; no procesa predios sin concepto jurídico positivo.</w:t>
      </w:r>
    </w:p>
    <w:p w14:paraId="788E734B" w14:textId="77777777" w:rsidR="00C06090" w:rsidRPr="0081375C" w:rsidRDefault="00C06090" w:rsidP="003F6B53">
      <w:pPr>
        <w:spacing w:line="23" w:lineRule="atLeast"/>
        <w:jc w:val="both"/>
        <w:rPr>
          <w:rFonts w:ascii="Arial" w:eastAsia="Arial" w:hAnsi="Arial" w:cs="Arial"/>
          <w:color w:val="000000" w:themeColor="text1"/>
        </w:rPr>
      </w:pPr>
    </w:p>
    <w:p w14:paraId="477652F0"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De cada postulación se conserva el registro de requerimientos de subsanación emitidos (predio, fecha, documentación solicitada, respuesta recibida) y las notas del profesional jurídico sobre reclasificaciones y casos atípicos. </w:t>
      </w:r>
    </w:p>
    <w:p w14:paraId="29861AE0" w14:textId="77777777" w:rsidR="00C06090" w:rsidRPr="0081375C" w:rsidRDefault="00C06090" w:rsidP="003F6B53">
      <w:pPr>
        <w:spacing w:line="23" w:lineRule="atLeast"/>
        <w:jc w:val="both"/>
        <w:rPr>
          <w:rFonts w:ascii="Arial" w:eastAsia="Arial" w:hAnsi="Arial" w:cs="Arial"/>
          <w:color w:val="000000" w:themeColor="text1"/>
        </w:rPr>
      </w:pPr>
    </w:p>
    <w:p w14:paraId="5CF007DB" w14:textId="029BA681"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66" w:name="_Toc233304181"/>
      <w:r w:rsidRPr="0081375C">
        <w:rPr>
          <w:rFonts w:eastAsia="Aptos" w:cs="Arial"/>
          <w:bCs/>
          <w:color w:val="000000" w:themeColor="text1"/>
        </w:rPr>
        <w:t xml:space="preserve">Evaluación y </w:t>
      </w:r>
      <w:r w:rsidR="00882103" w:rsidRPr="0081375C">
        <w:rPr>
          <w:rFonts w:eastAsia="Aptos" w:cs="Arial"/>
          <w:bCs/>
          <w:color w:val="000000" w:themeColor="text1"/>
        </w:rPr>
        <w:t>V</w:t>
      </w:r>
      <w:r w:rsidRPr="0081375C">
        <w:rPr>
          <w:rFonts w:eastAsia="Aptos" w:cs="Arial"/>
          <w:bCs/>
          <w:color w:val="000000" w:themeColor="text1"/>
        </w:rPr>
        <w:t xml:space="preserve">isita </w:t>
      </w:r>
      <w:r w:rsidR="00882103" w:rsidRPr="0081375C">
        <w:rPr>
          <w:rFonts w:eastAsia="Aptos" w:cs="Arial"/>
          <w:bCs/>
          <w:color w:val="000000" w:themeColor="text1"/>
        </w:rPr>
        <w:t>T</w:t>
      </w:r>
      <w:r w:rsidRPr="0081375C">
        <w:rPr>
          <w:rFonts w:eastAsia="Aptos" w:cs="Arial"/>
          <w:bCs/>
          <w:color w:val="000000" w:themeColor="text1"/>
        </w:rPr>
        <w:t>écnica</w:t>
      </w:r>
      <w:bookmarkEnd w:id="66"/>
    </w:p>
    <w:p w14:paraId="1AC86D28" w14:textId="77777777" w:rsidR="00C06090" w:rsidRPr="0081375C" w:rsidRDefault="00C06090" w:rsidP="00C06090">
      <w:pPr>
        <w:rPr>
          <w:rFonts w:ascii="Arial" w:hAnsi="Arial" w:cs="Arial"/>
        </w:rPr>
      </w:pPr>
    </w:p>
    <w:p w14:paraId="31BA8780" w14:textId="749B8D90"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evaluación técnica determina si el predio cumple las condiciones para ingresar al esquema desde el punto de vista de sus coberturas, sus áreas elegibles y su disposición de aislamiento, y define el área efectivamente postulada al esquema de PSA. La evaluación técnica se realiza mediante una visita técnica de recorrido por el predio postulado y el producto que condensa toda la información es el </w:t>
      </w:r>
      <w:r w:rsidRPr="0081375C">
        <w:rPr>
          <w:rFonts w:ascii="Arial" w:hAnsi="Arial" w:cs="Arial"/>
          <w:b/>
          <w:bCs/>
          <w:i/>
          <w:iCs/>
          <w:color w:val="000000" w:themeColor="text1"/>
        </w:rPr>
        <w:t>FO-GEAM Informe de Evaluación de Predios Participantes del Esquema</w:t>
      </w:r>
      <w:r w:rsidRPr="0081375C">
        <w:rPr>
          <w:rFonts w:ascii="Arial" w:eastAsia="Arial" w:hAnsi="Arial" w:cs="Arial"/>
          <w:color w:val="000000" w:themeColor="text1"/>
        </w:rPr>
        <w:t xml:space="preserve"> </w:t>
      </w:r>
      <w:r w:rsidRPr="0081375C">
        <w:rPr>
          <w:rFonts w:ascii="Arial" w:eastAsia="Arial" w:hAnsi="Arial" w:cs="Arial"/>
          <w:b/>
          <w:bCs/>
          <w:i/>
          <w:iCs/>
          <w:color w:val="000000" w:themeColor="text1"/>
        </w:rPr>
        <w:t>de Pago por Servicios Ambientales</w:t>
      </w:r>
      <w:r w:rsidRPr="0081375C">
        <w:rPr>
          <w:rFonts w:ascii="Arial" w:eastAsia="Arial" w:hAnsi="Arial" w:cs="Arial"/>
          <w:color w:val="000000" w:themeColor="text1"/>
        </w:rPr>
        <w:t>. Opera una vez se cuente con la evaluación jurídica con concepto positivo, estimada en los primeros casos (Tipo 1- rápido) a partir del décimo día hábil. No procesa ningún predio sin concepto jurídico previamente emitido.</w:t>
      </w:r>
    </w:p>
    <w:p w14:paraId="0DF1712C" w14:textId="77777777" w:rsidR="00C06090" w:rsidRPr="0081375C" w:rsidRDefault="00C06090" w:rsidP="003F6B53">
      <w:pPr>
        <w:spacing w:line="23" w:lineRule="atLeast"/>
        <w:jc w:val="both"/>
        <w:rPr>
          <w:rFonts w:ascii="Arial" w:eastAsia="Arial" w:hAnsi="Arial" w:cs="Arial"/>
          <w:color w:val="000000" w:themeColor="text1"/>
        </w:rPr>
      </w:pPr>
    </w:p>
    <w:p w14:paraId="3087883A" w14:textId="15C5ACFC"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 diferencia del componente jurídico, las visitas de campo cuentan con un plazo variable</w:t>
      </w:r>
      <w:r w:rsidR="3583DEFA" w:rsidRPr="0081375C">
        <w:rPr>
          <w:rFonts w:ascii="Arial" w:eastAsia="Arial" w:hAnsi="Arial" w:cs="Arial"/>
          <w:color w:val="000000" w:themeColor="text1"/>
        </w:rPr>
        <w:t>.</w:t>
      </w:r>
      <w:r w:rsidRPr="0081375C">
        <w:rPr>
          <w:rFonts w:ascii="Arial" w:eastAsia="Arial" w:hAnsi="Arial" w:cs="Arial"/>
          <w:color w:val="000000" w:themeColor="text1"/>
        </w:rPr>
        <w:t xml:space="preserve"> </w:t>
      </w:r>
      <w:r w:rsidR="7133A158" w:rsidRPr="0081375C">
        <w:rPr>
          <w:rFonts w:ascii="Arial" w:eastAsia="Arial" w:hAnsi="Arial" w:cs="Arial"/>
          <w:color w:val="000000" w:themeColor="text1"/>
        </w:rPr>
        <w:t>L</w:t>
      </w:r>
      <w:r w:rsidRPr="0081375C">
        <w:rPr>
          <w:rFonts w:ascii="Arial" w:eastAsia="Arial" w:hAnsi="Arial" w:cs="Arial"/>
          <w:color w:val="000000" w:themeColor="text1"/>
        </w:rPr>
        <w:t xml:space="preserve">a ventana de cierre para completar visitas pendientes de Tipo 1 y Tipo 2 es de 15 días hábiles tras la remisión del paquete de predios por parte del profesional jurídico. Los predios de Tipo 3 con concepto jurídico positivo tardío no tienen ventana técnica asignada en el cronograma estándar. Estos se tratan posterior a la evaluación jurídica extemporánea con un plazo máximo de </w:t>
      </w:r>
      <w:r w:rsidR="2CF7E991" w:rsidRPr="0081375C">
        <w:rPr>
          <w:rFonts w:ascii="Arial" w:eastAsia="Arial" w:hAnsi="Arial" w:cs="Arial"/>
          <w:color w:val="000000" w:themeColor="text1"/>
        </w:rPr>
        <w:t>5</w:t>
      </w:r>
      <w:r w:rsidRPr="0081375C">
        <w:rPr>
          <w:rFonts w:ascii="Arial" w:eastAsia="Arial" w:hAnsi="Arial" w:cs="Arial"/>
          <w:color w:val="000000" w:themeColor="text1"/>
        </w:rPr>
        <w:t xml:space="preserve"> días hábiles.</w:t>
      </w:r>
    </w:p>
    <w:p w14:paraId="51B167FC" w14:textId="77777777" w:rsidR="00C06090" w:rsidRPr="0081375C" w:rsidRDefault="00C06090" w:rsidP="003F6B53">
      <w:pPr>
        <w:spacing w:line="23" w:lineRule="atLeast"/>
        <w:jc w:val="both"/>
        <w:rPr>
          <w:rFonts w:ascii="Arial" w:eastAsia="Arial" w:hAnsi="Arial" w:cs="Arial"/>
          <w:color w:val="000000" w:themeColor="text1"/>
        </w:rPr>
      </w:pPr>
    </w:p>
    <w:p w14:paraId="5A81F036" w14:textId="5E9295A4" w:rsidR="00825D4D" w:rsidRPr="0081375C" w:rsidRDefault="00806784" w:rsidP="003F6B53">
      <w:pPr>
        <w:spacing w:line="23" w:lineRule="atLeast"/>
        <w:jc w:val="both"/>
        <w:rPr>
          <w:rFonts w:ascii="Arial" w:hAnsi="Arial" w:cs="Arial"/>
          <w:b/>
          <w:bCs/>
          <w:color w:val="000000" w:themeColor="text1"/>
          <w:sz w:val="20"/>
          <w:szCs w:val="20"/>
        </w:rPr>
      </w:pPr>
      <w:bookmarkStart w:id="67" w:name="_Toc233040671"/>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23</w:t>
      </w:r>
      <w:r w:rsidRPr="0081375C">
        <w:rPr>
          <w:rFonts w:ascii="Arial" w:hAnsi="Arial" w:cs="Arial"/>
          <w:b/>
          <w:bCs/>
          <w:color w:val="000000" w:themeColor="text1"/>
          <w:sz w:val="20"/>
          <w:szCs w:val="20"/>
        </w:rPr>
        <w:fldChar w:fldCharType="end"/>
      </w:r>
      <w:r w:rsidR="00F742B6" w:rsidRPr="0081375C">
        <w:rPr>
          <w:rFonts w:ascii="Arial" w:hAnsi="Arial" w:cs="Arial"/>
          <w:b/>
          <w:bCs/>
          <w:color w:val="000000" w:themeColor="text1"/>
          <w:sz w:val="20"/>
          <w:szCs w:val="20"/>
        </w:rPr>
        <w:t>.</w:t>
      </w:r>
      <w:r w:rsidRPr="0081375C">
        <w:rPr>
          <w:rFonts w:ascii="Arial" w:hAnsi="Arial" w:cs="Arial"/>
          <w:b/>
          <w:bCs/>
          <w:color w:val="000000" w:themeColor="text1"/>
          <w:sz w:val="20"/>
          <w:szCs w:val="20"/>
        </w:rPr>
        <w:t xml:space="preserve"> Cronograma de visitas de campo</w:t>
      </w:r>
      <w:bookmarkEnd w:id="67"/>
    </w:p>
    <w:tbl>
      <w:tblPr>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988"/>
        <w:gridCol w:w="3969"/>
        <w:gridCol w:w="3669"/>
      </w:tblGrid>
      <w:tr w:rsidR="00825D4D" w:rsidRPr="0081375C" w14:paraId="082914A4" w14:textId="77777777" w:rsidTr="65049D20">
        <w:trPr>
          <w:trHeight w:val="20"/>
        </w:trPr>
        <w:tc>
          <w:tcPr>
            <w:tcW w:w="988" w:type="dxa"/>
            <w:vAlign w:val="center"/>
          </w:tcPr>
          <w:p w14:paraId="45E92AF9"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b/>
                <w:color w:val="000000" w:themeColor="text1"/>
                <w:sz w:val="20"/>
                <w:szCs w:val="20"/>
              </w:rPr>
              <w:t>Bloque</w:t>
            </w:r>
          </w:p>
        </w:tc>
        <w:tc>
          <w:tcPr>
            <w:tcW w:w="3969" w:type="dxa"/>
            <w:vAlign w:val="center"/>
          </w:tcPr>
          <w:p w14:paraId="1D2266C1"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b/>
                <w:color w:val="000000" w:themeColor="text1"/>
                <w:sz w:val="20"/>
                <w:szCs w:val="20"/>
              </w:rPr>
              <w:t>Período</w:t>
            </w:r>
          </w:p>
        </w:tc>
        <w:tc>
          <w:tcPr>
            <w:tcW w:w="3669" w:type="dxa"/>
            <w:vAlign w:val="center"/>
          </w:tcPr>
          <w:p w14:paraId="4BCCBADA"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r>
      <w:tr w:rsidR="00825D4D" w:rsidRPr="0081375C" w14:paraId="3BA9D03D" w14:textId="77777777" w:rsidTr="65049D20">
        <w:trPr>
          <w:trHeight w:val="20"/>
        </w:trPr>
        <w:tc>
          <w:tcPr>
            <w:tcW w:w="988" w:type="dxa"/>
            <w:vAlign w:val="center"/>
          </w:tcPr>
          <w:p w14:paraId="2B098A15" w14:textId="77777777" w:rsidR="00825D4D" w:rsidRPr="0081375C" w:rsidRDefault="00806784" w:rsidP="00DE705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Tipo 1 y 2</w:t>
            </w:r>
          </w:p>
        </w:tc>
        <w:tc>
          <w:tcPr>
            <w:tcW w:w="3969" w:type="dxa"/>
            <w:vAlign w:val="center"/>
          </w:tcPr>
          <w:p w14:paraId="28030B71" w14:textId="635C842E" w:rsidR="00825D4D" w:rsidRPr="0081375C" w:rsidRDefault="65049D20" w:rsidP="003F6B53">
            <w:pPr>
              <w:spacing w:line="23" w:lineRule="atLeast"/>
              <w:mirrorIndents/>
              <w:jc w:val="both"/>
              <w:rPr>
                <w:rFonts w:ascii="Arial" w:hAnsi="Arial" w:cs="Arial"/>
                <w:color w:val="000000" w:themeColor="text1"/>
                <w:sz w:val="20"/>
                <w:szCs w:val="20"/>
              </w:rPr>
            </w:pPr>
            <w:r w:rsidRPr="0081375C">
              <w:rPr>
                <w:rFonts w:ascii="Arial" w:hAnsi="Arial" w:cs="Arial"/>
                <w:color w:val="000000" w:themeColor="text1"/>
                <w:sz w:val="20"/>
                <w:szCs w:val="20"/>
              </w:rPr>
              <w:t>Varía según cierre jurídico, las actividades de campo deben terminar hasta 15 días hábiles después de la última entrega por parte del profesional jurídico.</w:t>
            </w:r>
          </w:p>
        </w:tc>
        <w:tc>
          <w:tcPr>
            <w:tcW w:w="3669" w:type="dxa"/>
            <w:vMerge w:val="restart"/>
            <w:vAlign w:val="center"/>
          </w:tcPr>
          <w:p w14:paraId="2AE7DE77" w14:textId="05858DD7" w:rsidR="00825D4D" w:rsidRPr="0081375C" w:rsidRDefault="00806784" w:rsidP="5EE747D8">
            <w:pPr>
              <w:spacing w:line="23" w:lineRule="atLeast"/>
              <w:mirrorIndents/>
              <w:jc w:val="both"/>
              <w:rPr>
                <w:rFonts w:ascii="Arial" w:eastAsia="Arial" w:hAnsi="Arial" w:cs="Arial"/>
                <w:color w:val="000000" w:themeColor="text1"/>
                <w:sz w:val="20"/>
                <w:szCs w:val="20"/>
              </w:rPr>
            </w:pPr>
            <w:r w:rsidRPr="0081375C">
              <w:rPr>
                <w:rFonts w:ascii="Arial" w:eastAsia="Arial" w:hAnsi="Arial" w:cs="Arial"/>
                <w:color w:val="000000" w:themeColor="text1"/>
                <w:sz w:val="20"/>
                <w:szCs w:val="20"/>
              </w:rPr>
              <w:t>El equipo de campo realiza las visitas técnicas para validar las condiciones del predio y las acciones a implementar</w:t>
            </w:r>
            <w:r w:rsidR="5BB8F60C" w:rsidRPr="0081375C">
              <w:rPr>
                <w:rFonts w:ascii="Arial" w:eastAsia="Arial" w:hAnsi="Arial" w:cs="Arial"/>
                <w:color w:val="000000" w:themeColor="text1"/>
                <w:sz w:val="20"/>
                <w:szCs w:val="20"/>
              </w:rPr>
              <w:t>.</w:t>
            </w:r>
          </w:p>
          <w:p w14:paraId="6F9F2F71" w14:textId="77777777" w:rsidR="007D701E" w:rsidRPr="0081375C" w:rsidRDefault="007D701E" w:rsidP="5EE747D8">
            <w:pPr>
              <w:spacing w:line="23" w:lineRule="atLeast"/>
              <w:mirrorIndents/>
              <w:jc w:val="both"/>
              <w:rPr>
                <w:rFonts w:ascii="Arial" w:eastAsia="Arial" w:hAnsi="Arial" w:cs="Arial"/>
                <w:color w:val="000000" w:themeColor="text1"/>
                <w:sz w:val="20"/>
                <w:szCs w:val="20"/>
              </w:rPr>
            </w:pPr>
          </w:p>
          <w:p w14:paraId="17DAB04A" w14:textId="63000D6E" w:rsidR="00825D4D" w:rsidRPr="0081375C" w:rsidRDefault="6DA31413" w:rsidP="00DE7051">
            <w:pPr>
              <w:spacing w:line="23" w:lineRule="atLeast"/>
              <w:jc w:val="both"/>
              <w:rPr>
                <w:rFonts w:ascii="Arial" w:eastAsia="Arial" w:hAnsi="Arial" w:cs="Arial"/>
                <w:color w:val="000000" w:themeColor="text1"/>
                <w:sz w:val="20"/>
                <w:szCs w:val="20"/>
              </w:rPr>
            </w:pPr>
            <w:r w:rsidRPr="0081375C">
              <w:rPr>
                <w:rFonts w:ascii="Arial" w:eastAsia="Arial" w:hAnsi="Arial" w:cs="Arial"/>
                <w:color w:val="000000" w:themeColor="text1"/>
                <w:sz w:val="20"/>
                <w:szCs w:val="20"/>
              </w:rPr>
              <w:t>Las visitas se pueden dar en paralelo con la evalu</w:t>
            </w:r>
            <w:r w:rsidR="0B9239DB" w:rsidRPr="0081375C">
              <w:rPr>
                <w:rFonts w:ascii="Arial" w:eastAsia="Arial" w:hAnsi="Arial" w:cs="Arial"/>
                <w:color w:val="000000" w:themeColor="text1"/>
                <w:sz w:val="20"/>
                <w:szCs w:val="20"/>
              </w:rPr>
              <w:t>a</w:t>
            </w:r>
            <w:r w:rsidRPr="0081375C">
              <w:rPr>
                <w:rFonts w:ascii="Arial" w:eastAsia="Arial" w:hAnsi="Arial" w:cs="Arial"/>
                <w:color w:val="000000" w:themeColor="text1"/>
                <w:sz w:val="20"/>
                <w:szCs w:val="20"/>
              </w:rPr>
              <w:t xml:space="preserve">ción jurídica </w:t>
            </w:r>
            <w:r w:rsidR="4794B900" w:rsidRPr="0081375C">
              <w:rPr>
                <w:rFonts w:ascii="Arial" w:eastAsia="Arial" w:hAnsi="Arial" w:cs="Arial"/>
                <w:color w:val="000000" w:themeColor="text1"/>
                <w:sz w:val="20"/>
                <w:szCs w:val="20"/>
              </w:rPr>
              <w:t>en cada tipo, configurando una cadena entre el abogado y los técnicos.</w:t>
            </w:r>
          </w:p>
        </w:tc>
      </w:tr>
      <w:tr w:rsidR="00825D4D" w:rsidRPr="0081375C" w14:paraId="47CBC6BF" w14:textId="77777777" w:rsidTr="65049D20">
        <w:trPr>
          <w:trHeight w:val="907"/>
        </w:trPr>
        <w:tc>
          <w:tcPr>
            <w:tcW w:w="988" w:type="dxa"/>
            <w:vAlign w:val="center"/>
          </w:tcPr>
          <w:p w14:paraId="7CA68754" w14:textId="77777777" w:rsidR="00825D4D" w:rsidRPr="0081375C" w:rsidRDefault="00806784" w:rsidP="00DE7051">
            <w:pPr>
              <w:spacing w:line="23" w:lineRule="atLeast"/>
              <w:mirrorIndents/>
              <w:jc w:val="center"/>
              <w:rPr>
                <w:rFonts w:ascii="Arial" w:hAnsi="Arial" w:cs="Arial"/>
                <w:color w:val="000000" w:themeColor="text1"/>
                <w:sz w:val="20"/>
                <w:szCs w:val="20"/>
              </w:rPr>
            </w:pPr>
            <w:r w:rsidRPr="0081375C">
              <w:rPr>
                <w:rFonts w:ascii="Arial" w:hAnsi="Arial" w:cs="Arial"/>
                <w:color w:val="000000" w:themeColor="text1"/>
                <w:sz w:val="20"/>
                <w:szCs w:val="20"/>
              </w:rPr>
              <w:lastRenderedPageBreak/>
              <w:t>Tipo 3</w:t>
            </w:r>
          </w:p>
        </w:tc>
        <w:tc>
          <w:tcPr>
            <w:tcW w:w="3969" w:type="dxa"/>
            <w:vAlign w:val="center"/>
          </w:tcPr>
          <w:p w14:paraId="1BA2932F" w14:textId="3CB87D58" w:rsidR="00825D4D" w:rsidRPr="0081375C" w:rsidRDefault="4AB47B51" w:rsidP="003F6B53">
            <w:pPr>
              <w:spacing w:line="23" w:lineRule="atLeast"/>
              <w:mirrorIndents/>
              <w:jc w:val="both"/>
              <w:rPr>
                <w:rFonts w:ascii="Arial" w:hAnsi="Arial" w:cs="Arial"/>
                <w:color w:val="000000" w:themeColor="text1"/>
                <w:sz w:val="20"/>
                <w:szCs w:val="20"/>
              </w:rPr>
            </w:pPr>
            <w:r w:rsidRPr="0081375C">
              <w:rPr>
                <w:rFonts w:ascii="Arial" w:hAnsi="Arial" w:cs="Arial"/>
                <w:color w:val="000000" w:themeColor="text1"/>
                <w:sz w:val="20"/>
                <w:szCs w:val="20"/>
              </w:rPr>
              <w:t>5</w:t>
            </w:r>
            <w:r w:rsidR="00806784" w:rsidRPr="0081375C">
              <w:rPr>
                <w:rFonts w:ascii="Arial" w:hAnsi="Arial" w:cs="Arial"/>
                <w:color w:val="000000" w:themeColor="text1"/>
                <w:sz w:val="20"/>
                <w:szCs w:val="20"/>
              </w:rPr>
              <w:t xml:space="preserve"> días hábiles después de la última revisión jurídica extemporánea</w:t>
            </w:r>
          </w:p>
        </w:tc>
        <w:tc>
          <w:tcPr>
            <w:tcW w:w="3669" w:type="dxa"/>
            <w:vMerge/>
            <w:vAlign w:val="center"/>
          </w:tcPr>
          <w:p w14:paraId="46F53AAE" w14:textId="77777777" w:rsidR="00825D4D" w:rsidRPr="0081375C" w:rsidRDefault="00825D4D" w:rsidP="003F6B53">
            <w:pPr>
              <w:spacing w:line="23" w:lineRule="atLeast"/>
              <w:mirrorIndents/>
              <w:jc w:val="both"/>
              <w:rPr>
                <w:rFonts w:ascii="Arial" w:eastAsia="Arial" w:hAnsi="Arial" w:cs="Arial"/>
                <w:color w:val="000000" w:themeColor="text1"/>
                <w:sz w:val="20"/>
                <w:szCs w:val="20"/>
              </w:rPr>
            </w:pPr>
          </w:p>
        </w:tc>
      </w:tr>
    </w:tbl>
    <w:p w14:paraId="02127DAF" w14:textId="77777777" w:rsidR="00C06090" w:rsidRPr="0081375C" w:rsidRDefault="00C06090" w:rsidP="003F6B53">
      <w:pPr>
        <w:spacing w:line="23" w:lineRule="atLeast"/>
        <w:jc w:val="both"/>
        <w:rPr>
          <w:rFonts w:ascii="Arial" w:eastAsia="Arial" w:hAnsi="Arial" w:cs="Arial"/>
          <w:color w:val="000000" w:themeColor="text1"/>
        </w:rPr>
      </w:pPr>
    </w:p>
    <w:p w14:paraId="2DE0EFDF" w14:textId="35791B20"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Antes de emitir el informe, el responsable verifica la coherencia interna del documento: el resultado de la evaluación debe ser consistente con los conceptos jurídico y técnico, las áreas propuestas y las acciones definidas. Si se detecta alguna inconsistencia, el informe se devuelve al módulo correspondiente para corrección antes de emitirse.</w:t>
      </w:r>
    </w:p>
    <w:p w14:paraId="49EBB9DC" w14:textId="77777777" w:rsidR="00C06090" w:rsidRPr="0081375C" w:rsidRDefault="00C06090" w:rsidP="003F6B53">
      <w:pPr>
        <w:spacing w:line="23" w:lineRule="atLeast"/>
        <w:jc w:val="both"/>
        <w:rPr>
          <w:rFonts w:ascii="Arial" w:eastAsia="Arial" w:hAnsi="Arial" w:cs="Arial"/>
          <w:color w:val="000000" w:themeColor="text1"/>
        </w:rPr>
      </w:pPr>
    </w:p>
    <w:p w14:paraId="608CCD4A" w14:textId="6F5D9054"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 xml:space="preserve">El informe de evaluación consolida en un único instrumento los resultados de las evaluaciones jurídica, técnica y de acciones, y produce el insumo que el comité técnico utilizará para tomar la decisión de selección. El informe no constituye decisión de ingreso al esquema, </w:t>
      </w:r>
      <w:r w:rsidR="19BC294F" w:rsidRPr="0081375C">
        <w:rPr>
          <w:rFonts w:ascii="Arial" w:eastAsia="Arial" w:hAnsi="Arial" w:cs="Arial"/>
          <w:color w:val="000000" w:themeColor="text1"/>
        </w:rPr>
        <w:t>e</w:t>
      </w:r>
      <w:r w:rsidRPr="0081375C">
        <w:rPr>
          <w:rFonts w:ascii="Arial" w:eastAsia="Arial" w:hAnsi="Arial" w:cs="Arial"/>
          <w:color w:val="000000" w:themeColor="text1"/>
        </w:rPr>
        <w:t>ste aporta la información necesaria para que el comité técnico compare predios y tome esa decisión. El resultado de la evaluación es insumo, pero no es vinculante; la selección depende además de la priorización del conjunto de predios de la convocatoria y de los recursos disponibles.</w:t>
      </w:r>
      <w:r w:rsidRPr="0081375C">
        <w:rPr>
          <w:rFonts w:ascii="Arial" w:hAnsi="Arial" w:cs="Arial"/>
          <w:b/>
          <w:i/>
          <w:color w:val="000000" w:themeColor="text1"/>
        </w:rPr>
        <w:t>FO-GEAM Aceptación informe de Visita Técnica de Evaluación Pago</w:t>
      </w:r>
      <w:r w:rsidR="110CB3AE" w:rsidRPr="0081375C">
        <w:rPr>
          <w:rFonts w:ascii="Arial" w:hAnsi="Arial" w:cs="Arial"/>
          <w:b/>
          <w:bCs/>
          <w:i/>
          <w:iCs/>
          <w:color w:val="000000" w:themeColor="text1"/>
        </w:rPr>
        <w:t>.</w:t>
      </w:r>
    </w:p>
    <w:p w14:paraId="077B3013" w14:textId="77777777" w:rsidR="00C06090" w:rsidRPr="0081375C" w:rsidRDefault="00C06090" w:rsidP="003F6B53">
      <w:pPr>
        <w:spacing w:line="23" w:lineRule="atLeast"/>
        <w:jc w:val="both"/>
        <w:rPr>
          <w:rFonts w:ascii="Arial" w:eastAsia="Arial" w:hAnsi="Arial" w:cs="Arial"/>
          <w:b/>
          <w:bCs/>
          <w:color w:val="000000" w:themeColor="text1"/>
        </w:rPr>
      </w:pPr>
    </w:p>
    <w:p w14:paraId="318ABB5B" w14:textId="5E3402A8" w:rsidR="00825D4D" w:rsidRPr="0081375C" w:rsidRDefault="00806784" w:rsidP="003F6B53">
      <w:pPr>
        <w:spacing w:line="23" w:lineRule="atLeast"/>
        <w:jc w:val="both"/>
        <w:rPr>
          <w:rFonts w:ascii="Arial" w:eastAsia="Arial" w:hAnsi="Arial" w:cs="Arial"/>
          <w:b/>
          <w:bCs/>
          <w:color w:val="000000" w:themeColor="text1"/>
        </w:rPr>
      </w:pPr>
      <w:r w:rsidRPr="0081375C">
        <w:rPr>
          <w:rFonts w:ascii="Arial" w:eastAsia="Arial" w:hAnsi="Arial" w:cs="Arial"/>
          <w:b/>
          <w:bCs/>
          <w:color w:val="000000" w:themeColor="text1"/>
        </w:rPr>
        <w:t xml:space="preserve">Visita </w:t>
      </w:r>
      <w:r w:rsidR="0039332E" w:rsidRPr="0081375C">
        <w:rPr>
          <w:rFonts w:ascii="Arial" w:eastAsia="Arial" w:hAnsi="Arial" w:cs="Arial"/>
          <w:b/>
          <w:bCs/>
          <w:color w:val="000000" w:themeColor="text1"/>
        </w:rPr>
        <w:t>T</w:t>
      </w:r>
      <w:r w:rsidRPr="0081375C">
        <w:rPr>
          <w:rFonts w:ascii="Arial" w:eastAsia="Arial" w:hAnsi="Arial" w:cs="Arial"/>
          <w:b/>
          <w:bCs/>
          <w:color w:val="000000" w:themeColor="text1"/>
        </w:rPr>
        <w:t xml:space="preserve">écnica de </w:t>
      </w:r>
      <w:r w:rsidR="0039332E" w:rsidRPr="0081375C">
        <w:rPr>
          <w:rFonts w:ascii="Arial" w:eastAsia="Arial" w:hAnsi="Arial" w:cs="Arial"/>
          <w:b/>
          <w:bCs/>
          <w:color w:val="000000" w:themeColor="text1"/>
        </w:rPr>
        <w:t>C</w:t>
      </w:r>
      <w:r w:rsidRPr="0081375C">
        <w:rPr>
          <w:rFonts w:ascii="Arial" w:eastAsia="Arial" w:hAnsi="Arial" w:cs="Arial"/>
          <w:b/>
          <w:bCs/>
          <w:color w:val="000000" w:themeColor="text1"/>
        </w:rPr>
        <w:t>amp</w:t>
      </w:r>
      <w:r w:rsidR="00C06090" w:rsidRPr="0081375C">
        <w:rPr>
          <w:rFonts w:ascii="Arial" w:eastAsia="Arial" w:hAnsi="Arial" w:cs="Arial"/>
          <w:b/>
          <w:bCs/>
          <w:color w:val="000000" w:themeColor="text1"/>
        </w:rPr>
        <w:t>o</w:t>
      </w:r>
    </w:p>
    <w:p w14:paraId="50F3B31D" w14:textId="77777777" w:rsidR="00C06090" w:rsidRPr="0081375C" w:rsidRDefault="00C06090" w:rsidP="003F6B53">
      <w:pPr>
        <w:spacing w:line="23" w:lineRule="atLeast"/>
        <w:jc w:val="both"/>
        <w:rPr>
          <w:rFonts w:ascii="Arial" w:eastAsia="Arial" w:hAnsi="Arial" w:cs="Arial"/>
          <w:b/>
          <w:color w:val="000000" w:themeColor="text1"/>
        </w:rPr>
      </w:pPr>
    </w:p>
    <w:p w14:paraId="2F415980" w14:textId="54EBA0DE"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Antes de cada visita de campo, el profesional SIG elabora un mapa preliminar de coberturas de la tierra para el predio, a partir de ortofotografías o imágenes satelitales disponibles para la época. El mapa delimita coberturas vegetales dentro del ecosistema estratégico, indica el lindero total del predio, el área elegible y los puntos de verificación prioritarios, siguiendo las categorías Corine Land Cover. La escala de detalle se ajusta al tamaño del predio.</w:t>
      </w:r>
    </w:p>
    <w:p w14:paraId="5FB2126B" w14:textId="77777777" w:rsidR="00C06090" w:rsidRPr="0081375C" w:rsidRDefault="00C06090" w:rsidP="003F6B53">
      <w:pPr>
        <w:spacing w:line="23" w:lineRule="atLeast"/>
        <w:jc w:val="both"/>
        <w:rPr>
          <w:rFonts w:ascii="Arial" w:eastAsia="Arial" w:hAnsi="Arial" w:cs="Arial"/>
          <w:color w:val="000000" w:themeColor="text1"/>
        </w:rPr>
      </w:pPr>
    </w:p>
    <w:p w14:paraId="791348A8"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Con ese mapa como insumo, el equipo de campo agenda la visita con el postulante o con una persona conocedora del predio que pueda acompañar el recorrido. La visita comprende cinco tareas: </w:t>
      </w:r>
    </w:p>
    <w:p w14:paraId="73D747F8" w14:textId="77777777" w:rsidR="00825D4D" w:rsidRPr="0081375C" w:rsidRDefault="00825D4D" w:rsidP="003F6B53">
      <w:pPr>
        <w:spacing w:line="23" w:lineRule="atLeast"/>
        <w:jc w:val="both"/>
        <w:rPr>
          <w:rFonts w:ascii="Arial" w:eastAsia="Aptos" w:hAnsi="Arial" w:cs="Arial"/>
          <w:color w:val="000000" w:themeColor="text1"/>
        </w:rPr>
      </w:pPr>
    </w:p>
    <w:p w14:paraId="24F0E783" w14:textId="0481810D" w:rsidR="00825D4D" w:rsidRPr="0081375C" w:rsidRDefault="00806784">
      <w:pPr>
        <w:pStyle w:val="Prrafodelista"/>
        <w:numPr>
          <w:ilvl w:val="0"/>
          <w:numId w:val="10"/>
        </w:numPr>
        <w:spacing w:line="23" w:lineRule="atLeast"/>
        <w:ind w:left="0"/>
        <w:contextualSpacing w:val="0"/>
        <w:jc w:val="both"/>
        <w:rPr>
          <w:rFonts w:ascii="Arial" w:eastAsia="Aptos" w:hAnsi="Arial" w:cs="Arial"/>
          <w:color w:val="000000" w:themeColor="text1"/>
        </w:rPr>
      </w:pPr>
      <w:r w:rsidRPr="0081375C">
        <w:rPr>
          <w:rFonts w:ascii="Arial" w:eastAsia="Arial" w:hAnsi="Arial" w:cs="Arial"/>
          <w:color w:val="000000" w:themeColor="text1"/>
        </w:rPr>
        <w:t>Verificar y ajustar las coberturas del mapa preliminar contra la realidad del terreno (registro fotográfico, puntos GPS, ajuste de polígonos)</w:t>
      </w:r>
      <w:r w:rsidR="00C06090" w:rsidRPr="0081375C">
        <w:rPr>
          <w:rFonts w:ascii="Arial" w:eastAsia="Arial" w:hAnsi="Arial" w:cs="Arial"/>
          <w:color w:val="000000" w:themeColor="text1"/>
        </w:rPr>
        <w:t>.</w:t>
      </w:r>
    </w:p>
    <w:p w14:paraId="48EE4E27" w14:textId="548EB235" w:rsidR="00825D4D" w:rsidRPr="0081375C" w:rsidRDefault="00806784">
      <w:pPr>
        <w:pStyle w:val="Prrafodelista"/>
        <w:numPr>
          <w:ilvl w:val="0"/>
          <w:numId w:val="10"/>
        </w:numPr>
        <w:spacing w:line="23" w:lineRule="atLeast"/>
        <w:ind w:left="0"/>
        <w:contextualSpacing w:val="0"/>
        <w:jc w:val="both"/>
        <w:rPr>
          <w:rFonts w:ascii="Arial" w:eastAsia="Aptos" w:hAnsi="Arial" w:cs="Arial"/>
          <w:color w:val="000000" w:themeColor="text1"/>
        </w:rPr>
      </w:pPr>
      <w:r w:rsidRPr="0081375C">
        <w:rPr>
          <w:rFonts w:ascii="Arial" w:eastAsia="Arial" w:hAnsi="Arial" w:cs="Arial"/>
          <w:color w:val="000000" w:themeColor="text1"/>
        </w:rPr>
        <w:t>Verificar los linderos accesibles y contrastarlos con los límites catastrales, documentando discrepancias</w:t>
      </w:r>
      <w:r w:rsidR="00C06090" w:rsidRPr="0081375C">
        <w:rPr>
          <w:rFonts w:ascii="Arial" w:eastAsia="Arial" w:hAnsi="Arial" w:cs="Arial"/>
          <w:color w:val="000000" w:themeColor="text1"/>
        </w:rPr>
        <w:t>.</w:t>
      </w:r>
    </w:p>
    <w:p w14:paraId="79390588" w14:textId="77777777" w:rsidR="00825D4D" w:rsidRPr="0081375C" w:rsidRDefault="00806784">
      <w:pPr>
        <w:pStyle w:val="Prrafodelista"/>
        <w:numPr>
          <w:ilvl w:val="0"/>
          <w:numId w:val="10"/>
        </w:numPr>
        <w:spacing w:line="23" w:lineRule="atLeast"/>
        <w:ind w:left="0"/>
        <w:contextualSpacing w:val="0"/>
        <w:jc w:val="both"/>
        <w:rPr>
          <w:rFonts w:ascii="Arial" w:hAnsi="Arial"/>
          <w:color w:val="000000" w:themeColor="text1"/>
        </w:rPr>
      </w:pPr>
      <w:r w:rsidRPr="0081375C">
        <w:rPr>
          <w:rFonts w:ascii="Arial" w:eastAsia="Arial" w:hAnsi="Arial" w:cs="Arial"/>
          <w:color w:val="000000" w:themeColor="text1"/>
        </w:rPr>
        <w:t xml:space="preserve">Definir con el acompañante las áreas a postular al esquema, incluyendo uso actual, actividades y las acciones de PSA a incorporar: </w:t>
      </w:r>
      <w:r w:rsidRPr="0081375C">
        <w:rPr>
          <w:rFonts w:ascii="Arial" w:hAnsi="Arial"/>
          <w:color w:val="000000" w:themeColor="text1"/>
        </w:rPr>
        <w:t xml:space="preserve">Preservación y restauración. </w:t>
      </w:r>
    </w:p>
    <w:p w14:paraId="1B962AAB" w14:textId="77777777" w:rsidR="00825D4D" w:rsidRPr="0081375C" w:rsidRDefault="00806784">
      <w:pPr>
        <w:pStyle w:val="Prrafodelista"/>
        <w:numPr>
          <w:ilvl w:val="0"/>
          <w:numId w:val="10"/>
        </w:numPr>
        <w:spacing w:line="23" w:lineRule="atLeast"/>
        <w:ind w:left="0"/>
        <w:contextualSpacing w:val="0"/>
        <w:jc w:val="both"/>
        <w:rPr>
          <w:rFonts w:ascii="Arial" w:eastAsia="Aptos" w:hAnsi="Arial" w:cs="Arial"/>
          <w:color w:val="000000" w:themeColor="text1"/>
        </w:rPr>
      </w:pPr>
      <w:r w:rsidRPr="0081375C">
        <w:rPr>
          <w:rFonts w:ascii="Arial" w:eastAsia="Arial" w:hAnsi="Arial" w:cs="Arial"/>
          <w:color w:val="000000" w:themeColor="text1"/>
        </w:rPr>
        <w:t xml:space="preserve">Verificar las condiciones de aislamiento de las áreas postuladas para las acciones de restauración y, si hay zonas sin aislamiento viable, delimitar los sitios para cercos, estimar longitud e informar al acompañante que el aislamiento es requisito de ingreso y a cargo del postulante. </w:t>
      </w:r>
    </w:p>
    <w:p w14:paraId="6AEFAA20" w14:textId="77777777" w:rsidR="00825D4D" w:rsidRPr="0081375C" w:rsidRDefault="00806784">
      <w:pPr>
        <w:pStyle w:val="Prrafodelista"/>
        <w:numPr>
          <w:ilvl w:val="0"/>
          <w:numId w:val="10"/>
        </w:numPr>
        <w:spacing w:line="23" w:lineRule="atLeast"/>
        <w:ind w:left="0"/>
        <w:contextualSpacing w:val="0"/>
        <w:jc w:val="both"/>
        <w:rPr>
          <w:rFonts w:ascii="Arial" w:eastAsia="Aptos" w:hAnsi="Arial" w:cs="Arial"/>
          <w:color w:val="000000" w:themeColor="text1"/>
        </w:rPr>
      </w:pPr>
      <w:r w:rsidRPr="0081375C">
        <w:rPr>
          <w:rFonts w:ascii="Arial" w:eastAsia="Arial" w:hAnsi="Arial" w:cs="Arial"/>
          <w:color w:val="000000" w:themeColor="text1"/>
        </w:rPr>
        <w:lastRenderedPageBreak/>
        <w:t xml:space="preserve">Recopilar información sobre actividades productivas, infraestructura y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que presionan las áreas postuladas (ganadería, extracción vegetal, residuos, aguas negras o grises, especies invasoras).</w:t>
      </w:r>
    </w:p>
    <w:p w14:paraId="12A711BB" w14:textId="77777777" w:rsidR="00C06090" w:rsidRPr="0081375C" w:rsidRDefault="00C06090" w:rsidP="00C06090">
      <w:pPr>
        <w:pStyle w:val="Prrafodelista"/>
        <w:spacing w:line="23" w:lineRule="atLeast"/>
        <w:ind w:left="0"/>
        <w:contextualSpacing w:val="0"/>
        <w:jc w:val="both"/>
        <w:rPr>
          <w:rFonts w:ascii="Arial" w:eastAsia="Aptos" w:hAnsi="Arial" w:cs="Arial"/>
          <w:color w:val="000000" w:themeColor="text1"/>
        </w:rPr>
      </w:pPr>
    </w:p>
    <w:p w14:paraId="42E482B7" w14:textId="32632520"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Al cierre de la visita se ajusta el mapa de coberturas con los datos de campo y se consolida la ficha técnica del predio: coberturas definitivas, área elegible, área postulada, condiciones de aislamiento y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identificados. El concepto técnico puede ser favorable, condicionado a la implementación de medidas para contrarrestar las presiones o los factores de disturbio identificados, entre los que se encuentran la instalación de cercos, o desfavorable si el área postulada no cumple las condiciones mínimas de elegibilidad y el postulante establece que no se acoge a los compromisos para la preservación y restauración. El cumplimiento de las medidas identificadas en predios con concepto condicionado se verifica antes de la formalización del acuerdo. Las discrepancias entre linderos de campo y límites catastrales que afecten el área postulada se trasladan al componente jurídico para análisis.</w:t>
      </w:r>
    </w:p>
    <w:p w14:paraId="3189F6A3" w14:textId="77777777" w:rsidR="00C06090" w:rsidRPr="0081375C" w:rsidRDefault="00C06090" w:rsidP="003F6B53">
      <w:pPr>
        <w:spacing w:line="23" w:lineRule="atLeast"/>
        <w:jc w:val="both"/>
        <w:rPr>
          <w:rFonts w:ascii="Arial" w:eastAsia="Arial" w:hAnsi="Arial" w:cs="Arial"/>
          <w:color w:val="000000" w:themeColor="text1"/>
        </w:rPr>
      </w:pPr>
    </w:p>
    <w:p w14:paraId="53776C03" w14:textId="483ADFD4" w:rsidR="00825D4D" w:rsidRPr="0081375C" w:rsidRDefault="00806784" w:rsidP="005A7E3E">
      <w:pPr>
        <w:pStyle w:val="Ttulo4"/>
        <w:numPr>
          <w:ilvl w:val="3"/>
          <w:numId w:val="27"/>
        </w:numPr>
        <w:spacing w:before="0" w:after="0" w:line="23" w:lineRule="atLeast"/>
        <w:rPr>
          <w:rFonts w:eastAsia="Aptos" w:cs="Arial"/>
          <w:bCs/>
          <w:color w:val="000000" w:themeColor="text1"/>
        </w:rPr>
      </w:pPr>
      <w:bookmarkStart w:id="68" w:name="_Int_7Zy7eQYz"/>
      <w:bookmarkStart w:id="69" w:name="_Toc233304182"/>
      <w:proofErr w:type="gramStart"/>
      <w:r w:rsidRPr="0081375C">
        <w:rPr>
          <w:rFonts w:eastAsia="Aptos" w:cs="Arial"/>
          <w:bCs/>
          <w:color w:val="000000" w:themeColor="text1"/>
        </w:rPr>
        <w:t xml:space="preserve">Evaluación de </w:t>
      </w:r>
      <w:r w:rsidR="0039332E" w:rsidRPr="0081375C">
        <w:rPr>
          <w:rFonts w:eastAsia="Aptos" w:cs="Arial"/>
          <w:bCs/>
          <w:color w:val="000000" w:themeColor="text1"/>
        </w:rPr>
        <w:t>A</w:t>
      </w:r>
      <w:r w:rsidRPr="0081375C">
        <w:rPr>
          <w:rFonts w:eastAsia="Aptos" w:cs="Arial"/>
          <w:bCs/>
          <w:color w:val="000000" w:themeColor="text1"/>
        </w:rPr>
        <w:t xml:space="preserve">cciones a </w:t>
      </w:r>
      <w:r w:rsidR="0039332E" w:rsidRPr="0081375C">
        <w:rPr>
          <w:rFonts w:eastAsia="Aptos" w:cs="Arial"/>
          <w:bCs/>
          <w:color w:val="000000" w:themeColor="text1"/>
        </w:rPr>
        <w:t>I</w:t>
      </w:r>
      <w:r w:rsidRPr="0081375C">
        <w:rPr>
          <w:rFonts w:eastAsia="Aptos" w:cs="Arial"/>
          <w:bCs/>
          <w:color w:val="000000" w:themeColor="text1"/>
        </w:rPr>
        <w:t>mplementar</w:t>
      </w:r>
      <w:bookmarkEnd w:id="68"/>
      <w:bookmarkEnd w:id="69"/>
      <w:proofErr w:type="gramEnd"/>
    </w:p>
    <w:p w14:paraId="4746AC06" w14:textId="77777777" w:rsidR="00C06090" w:rsidRPr="0081375C" w:rsidRDefault="00C06090" w:rsidP="00C06090">
      <w:pPr>
        <w:rPr>
          <w:rFonts w:ascii="Arial" w:hAnsi="Arial" w:cs="Arial"/>
        </w:rPr>
      </w:pPr>
    </w:p>
    <w:p w14:paraId="27779E83"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evaluación de acciones define qué tipo de intervención corresponde a cada cobertura identificada dentro del área postulada: preservación o restauración. Esta asignación determina las obligaciones que el beneficiario asumirá en el acuerdo y las estrategias de monitoreo aplicables durante la ejecución.</w:t>
      </w:r>
    </w:p>
    <w:p w14:paraId="1CE72148" w14:textId="77777777" w:rsidR="00C06090" w:rsidRPr="0081375C" w:rsidRDefault="00C06090" w:rsidP="003F6B53">
      <w:pPr>
        <w:spacing w:line="23" w:lineRule="atLeast"/>
        <w:jc w:val="both"/>
        <w:rPr>
          <w:rFonts w:ascii="Arial" w:eastAsia="Arial" w:hAnsi="Arial" w:cs="Arial"/>
          <w:color w:val="000000" w:themeColor="text1"/>
        </w:rPr>
      </w:pPr>
    </w:p>
    <w:p w14:paraId="388112A5" w14:textId="3259F8FA"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actividad se realiza en una reunión de análisis con participación mínima del técnico de campo que ejecutó la visita y del profesional SIG que elaboró el mapa de coberturas. El equipo revisa los resultados de campo, contrasta las áreas propuestas por el postulante con las coberturas verificadas y aplica los criterios de asignación.</w:t>
      </w:r>
    </w:p>
    <w:p w14:paraId="671F1BD6" w14:textId="77777777" w:rsidR="00C06090" w:rsidRPr="0081375C" w:rsidRDefault="00C06090" w:rsidP="003F6B53">
      <w:pPr>
        <w:spacing w:line="23" w:lineRule="atLeast"/>
        <w:jc w:val="both"/>
        <w:rPr>
          <w:rFonts w:ascii="Arial" w:eastAsia="Arial" w:hAnsi="Arial" w:cs="Arial"/>
          <w:color w:val="000000" w:themeColor="text1"/>
        </w:rPr>
      </w:pPr>
    </w:p>
    <w:p w14:paraId="4AB52546" w14:textId="639561CB" w:rsidR="00825D4D" w:rsidRPr="0081375C" w:rsidRDefault="65049D20"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resultado de la actividad es el mapa final de acciones por predio: polígonos con cobertura y acción asignada (</w:t>
      </w:r>
      <w:r w:rsidRPr="0081375C">
        <w:rPr>
          <w:rFonts w:ascii="Arial" w:hAnsi="Arial"/>
          <w:color w:val="000000" w:themeColor="text1"/>
        </w:rPr>
        <w:t>preservación o restauración</w:t>
      </w:r>
      <w:r w:rsidRPr="0081375C">
        <w:rPr>
          <w:rFonts w:ascii="Arial" w:eastAsia="Arial" w:hAnsi="Arial" w:cs="Arial"/>
          <w:color w:val="000000" w:themeColor="text1"/>
        </w:rPr>
        <w:t>) en formato SIG, junto con el registro de la reunión de análisis que documenta los criterios aplicados en cada decisión.  Este mapa se consigna en el informe de la avaluación y es el insumo territorial para el cálculo del valor del incentivo y para el diseño de las estrategias de monitoreo.</w:t>
      </w:r>
    </w:p>
    <w:p w14:paraId="39E549F7" w14:textId="77777777" w:rsidR="00C06090" w:rsidRPr="0081375C" w:rsidRDefault="00C06090" w:rsidP="003F6B53">
      <w:pPr>
        <w:spacing w:line="23" w:lineRule="atLeast"/>
        <w:jc w:val="both"/>
        <w:rPr>
          <w:rFonts w:ascii="Arial" w:eastAsia="Arial" w:hAnsi="Arial" w:cs="Arial"/>
          <w:color w:val="000000" w:themeColor="text1"/>
        </w:rPr>
      </w:pPr>
    </w:p>
    <w:p w14:paraId="68BEF3F8"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El ingreso de una cobertura al esquema bajo preservación o restauración se fundamenta en dos criterios: (1) su capacidad para proveer servicios ecosistémicos, principalmente hídricos, que depende de su grado de desarrollo; y (2) su capacidad para autosostenerse y recuperarse.</w:t>
      </w:r>
    </w:p>
    <w:p w14:paraId="1310CE36" w14:textId="77777777" w:rsidR="00C06090" w:rsidRPr="0081375C" w:rsidRDefault="00C06090" w:rsidP="003F6B53">
      <w:pPr>
        <w:spacing w:line="23" w:lineRule="atLeast"/>
        <w:jc w:val="both"/>
        <w:rPr>
          <w:rFonts w:ascii="Arial" w:hAnsi="Arial" w:cs="Arial"/>
          <w:color w:val="000000" w:themeColor="text1"/>
        </w:rPr>
      </w:pPr>
    </w:p>
    <w:p w14:paraId="710137E0" w14:textId="36FAACDB"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 xml:space="preserve">El documento </w:t>
      </w:r>
      <w:r w:rsidRPr="0081375C">
        <w:rPr>
          <w:rFonts w:ascii="Arial" w:hAnsi="Arial" w:cs="Arial"/>
          <w:b/>
          <w:bCs/>
          <w:i/>
          <w:iCs/>
          <w:color w:val="000000" w:themeColor="text1"/>
        </w:rPr>
        <w:t>DE-GEAM Análisis de Ingreso al Esquema</w:t>
      </w:r>
      <w:r w:rsidRPr="0081375C">
        <w:rPr>
          <w:rFonts w:ascii="Arial" w:hAnsi="Arial" w:cs="Arial"/>
          <w:color w:val="000000" w:themeColor="text1"/>
        </w:rPr>
        <w:t xml:space="preserve"> de PSA </w:t>
      </w:r>
      <w:r w:rsidR="72A42362" w:rsidRPr="0081375C">
        <w:rPr>
          <w:rFonts w:ascii="Arial" w:hAnsi="Arial" w:cs="Arial"/>
          <w:color w:val="000000" w:themeColor="text1"/>
        </w:rPr>
        <w:t>s</w:t>
      </w:r>
      <w:r w:rsidR="53ABCE9C" w:rsidRPr="0081375C">
        <w:rPr>
          <w:rFonts w:ascii="Arial" w:hAnsi="Arial" w:cs="Arial"/>
          <w:color w:val="000000" w:themeColor="text1"/>
        </w:rPr>
        <w:t>egún</w:t>
      </w:r>
      <w:r w:rsidRPr="0081375C">
        <w:rPr>
          <w:rFonts w:ascii="Arial" w:hAnsi="Arial" w:cs="Arial"/>
          <w:color w:val="000000" w:themeColor="text1"/>
        </w:rPr>
        <w:t xml:space="preserve"> el Tipo de Cobertura, anexo a esta guía, detalla el enfoque del esquema frente a los tipos de cobertura y sus implicaciones en los servicios ecosistémicos hídricos.</w:t>
      </w:r>
    </w:p>
    <w:p w14:paraId="18F113F0" w14:textId="77777777" w:rsidR="00C06090" w:rsidRPr="0081375C" w:rsidRDefault="00C06090" w:rsidP="003F6B53">
      <w:pPr>
        <w:spacing w:line="23" w:lineRule="atLeast"/>
        <w:jc w:val="both"/>
        <w:rPr>
          <w:rFonts w:ascii="Arial" w:hAnsi="Arial" w:cs="Arial"/>
          <w:color w:val="000000" w:themeColor="text1"/>
        </w:rPr>
      </w:pPr>
    </w:p>
    <w:p w14:paraId="0CB88BC4"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lastRenderedPageBreak/>
        <w:t xml:space="preserve">Con base en los </w:t>
      </w:r>
      <w:proofErr w:type="spellStart"/>
      <w:r w:rsidRPr="0081375C">
        <w:rPr>
          <w:rFonts w:ascii="Arial" w:hAnsi="Arial" w:cs="Arial"/>
          <w:color w:val="000000" w:themeColor="text1"/>
        </w:rPr>
        <w:t>tensionantes</w:t>
      </w:r>
      <w:proofErr w:type="spellEnd"/>
      <w:r w:rsidRPr="0081375C">
        <w:rPr>
          <w:rFonts w:ascii="Arial" w:hAnsi="Arial" w:cs="Arial"/>
          <w:color w:val="000000" w:themeColor="text1"/>
        </w:rPr>
        <w:t xml:space="preserve"> identificados durante la visita técnica, cada participante acordará al menos una acción durante su permanencia en el esquema. Estas acciones no se desarrollan necesariamente en las áreas vinculadas, pero contribuyen al mejoramiento ambiental del predio: erradicación de especies invasoras en puntos específicos; incorporación de áreas no previstas inicialmente pero catalogadas como puntos de mejora (por ejemplo, redes hídricas desprovistas de vegetación); instalación de sistemas de tratamiento de aguas grises; enriquecimiento de bosques en desarrollo con especies amenazadas; y cualquier otra que el equipo técnico identifique como susceptible de mejora.</w:t>
      </w:r>
    </w:p>
    <w:p w14:paraId="74B7BD66" w14:textId="77777777" w:rsidR="00C06090" w:rsidRPr="0081375C" w:rsidRDefault="00C06090" w:rsidP="003F6B53">
      <w:pPr>
        <w:spacing w:line="23" w:lineRule="atLeast"/>
        <w:jc w:val="both"/>
        <w:rPr>
          <w:rFonts w:ascii="Arial" w:hAnsi="Arial" w:cs="Arial"/>
          <w:color w:val="000000" w:themeColor="text1"/>
        </w:rPr>
      </w:pPr>
    </w:p>
    <w:p w14:paraId="2840B627" w14:textId="7309D7FB" w:rsidR="00825D4D" w:rsidRPr="0081375C" w:rsidRDefault="00806784" w:rsidP="003F6B53">
      <w:pPr>
        <w:spacing w:line="23" w:lineRule="atLeast"/>
        <w:jc w:val="both"/>
        <w:rPr>
          <w:rFonts w:ascii="Arial" w:hAnsi="Arial" w:cs="Arial"/>
          <w:b/>
          <w:bCs/>
          <w:color w:val="000000" w:themeColor="text1"/>
        </w:rPr>
      </w:pPr>
      <w:r w:rsidRPr="0081375C">
        <w:rPr>
          <w:rFonts w:ascii="Arial" w:hAnsi="Arial" w:cs="Arial"/>
          <w:b/>
          <w:bCs/>
          <w:color w:val="000000" w:themeColor="text1"/>
        </w:rPr>
        <w:t xml:space="preserve">Consideración </w:t>
      </w:r>
      <w:r w:rsidR="005258AE" w:rsidRPr="0081375C">
        <w:rPr>
          <w:rFonts w:ascii="Arial" w:hAnsi="Arial" w:cs="Arial"/>
          <w:b/>
          <w:bCs/>
          <w:color w:val="000000" w:themeColor="text1"/>
        </w:rPr>
        <w:t>E</w:t>
      </w:r>
      <w:r w:rsidRPr="0081375C">
        <w:rPr>
          <w:rFonts w:ascii="Arial" w:hAnsi="Arial" w:cs="Arial"/>
          <w:b/>
          <w:bCs/>
          <w:color w:val="000000" w:themeColor="text1"/>
        </w:rPr>
        <w:t xml:space="preserve">special para la </w:t>
      </w:r>
      <w:r w:rsidR="005258AE" w:rsidRPr="0081375C">
        <w:rPr>
          <w:rFonts w:ascii="Arial" w:hAnsi="Arial" w:cs="Arial"/>
          <w:b/>
          <w:bCs/>
          <w:color w:val="000000" w:themeColor="text1"/>
        </w:rPr>
        <w:t>A</w:t>
      </w:r>
      <w:r w:rsidRPr="0081375C">
        <w:rPr>
          <w:rFonts w:ascii="Arial" w:hAnsi="Arial" w:cs="Arial"/>
          <w:b/>
          <w:bCs/>
          <w:color w:val="000000" w:themeColor="text1"/>
        </w:rPr>
        <w:t xml:space="preserve">cción de </w:t>
      </w:r>
      <w:r w:rsidR="005258AE" w:rsidRPr="0081375C">
        <w:rPr>
          <w:rFonts w:ascii="Arial" w:hAnsi="Arial" w:cs="Arial"/>
          <w:b/>
          <w:bCs/>
          <w:color w:val="000000" w:themeColor="text1"/>
        </w:rPr>
        <w:t>P</w:t>
      </w:r>
      <w:r w:rsidRPr="0081375C">
        <w:rPr>
          <w:rFonts w:ascii="Arial" w:hAnsi="Arial" w:cs="Arial"/>
          <w:b/>
          <w:bCs/>
          <w:color w:val="000000" w:themeColor="text1"/>
        </w:rPr>
        <w:t>reservación</w:t>
      </w:r>
    </w:p>
    <w:p w14:paraId="72593E3E" w14:textId="77777777" w:rsidR="00C06090" w:rsidRPr="0081375C" w:rsidRDefault="00C06090" w:rsidP="003F6B53">
      <w:pPr>
        <w:spacing w:line="23" w:lineRule="atLeast"/>
        <w:jc w:val="both"/>
        <w:rPr>
          <w:rFonts w:ascii="Arial" w:hAnsi="Arial" w:cs="Arial"/>
          <w:b/>
          <w:bCs/>
          <w:color w:val="000000" w:themeColor="text1"/>
        </w:rPr>
      </w:pPr>
    </w:p>
    <w:p w14:paraId="5FC1AD4E"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En las áreas postuladas a preservación, conforme al Parágrafo 4 del artículo 2.4.1.11 del Decreto 774 de 2024 (compilatorio del Decreto 1114 de 2023), que establece: "No se reconocerá el incentivo de Pagos por Servicios Ambientales sobre áreas de bosque o áreas a restaurar que correspondan al cumplimiento de obligaciones con la autoridad ambiental u otra entidad en función a su actividad productiva", el propietario o poseedor suscribirá una declaración juramentada que certifique que las áreas propuestas no hacen parte de un proceso de compensación ante ninguna autoridad ambiental. Simultáneamente, la Secretaría de Medio Ambiente consultará a la autoridad ambiental competente.</w:t>
      </w:r>
    </w:p>
    <w:p w14:paraId="2B550114" w14:textId="77777777" w:rsidR="00C06090" w:rsidRPr="0081375C" w:rsidRDefault="00C06090" w:rsidP="003F6B53">
      <w:pPr>
        <w:spacing w:line="23" w:lineRule="atLeast"/>
        <w:jc w:val="both"/>
        <w:rPr>
          <w:rFonts w:ascii="Arial" w:hAnsi="Arial" w:cs="Arial"/>
          <w:color w:val="000000" w:themeColor="text1"/>
        </w:rPr>
      </w:pPr>
    </w:p>
    <w:p w14:paraId="5A11FB2D" w14:textId="4D4DC32B" w:rsidR="00825D4D" w:rsidRPr="0081375C" w:rsidRDefault="00806784" w:rsidP="003F6B53">
      <w:pPr>
        <w:spacing w:line="23" w:lineRule="atLeast"/>
        <w:jc w:val="both"/>
        <w:rPr>
          <w:rFonts w:ascii="Arial" w:hAnsi="Arial" w:cs="Arial"/>
          <w:b/>
          <w:bCs/>
          <w:color w:val="000000" w:themeColor="text1"/>
        </w:rPr>
      </w:pPr>
      <w:r w:rsidRPr="0081375C">
        <w:rPr>
          <w:rFonts w:ascii="Arial" w:hAnsi="Arial" w:cs="Arial"/>
          <w:b/>
          <w:bCs/>
          <w:color w:val="000000" w:themeColor="text1"/>
        </w:rPr>
        <w:t xml:space="preserve">Consideraciones </w:t>
      </w:r>
      <w:r w:rsidR="006771EE" w:rsidRPr="0081375C">
        <w:rPr>
          <w:rFonts w:ascii="Arial" w:hAnsi="Arial" w:cs="Arial"/>
          <w:b/>
          <w:bCs/>
          <w:color w:val="000000" w:themeColor="text1"/>
        </w:rPr>
        <w:t>E</w:t>
      </w:r>
      <w:r w:rsidRPr="0081375C">
        <w:rPr>
          <w:rFonts w:ascii="Arial" w:hAnsi="Arial" w:cs="Arial"/>
          <w:b/>
          <w:bCs/>
          <w:color w:val="000000" w:themeColor="text1"/>
        </w:rPr>
        <w:t xml:space="preserve">speciales para la </w:t>
      </w:r>
      <w:r w:rsidR="006771EE" w:rsidRPr="0081375C">
        <w:rPr>
          <w:rFonts w:ascii="Arial" w:hAnsi="Arial" w:cs="Arial"/>
          <w:b/>
          <w:bCs/>
          <w:color w:val="000000" w:themeColor="text1"/>
        </w:rPr>
        <w:t>A</w:t>
      </w:r>
      <w:r w:rsidRPr="0081375C">
        <w:rPr>
          <w:rFonts w:ascii="Arial" w:hAnsi="Arial" w:cs="Arial"/>
          <w:b/>
          <w:bCs/>
          <w:color w:val="000000" w:themeColor="text1"/>
        </w:rPr>
        <w:t xml:space="preserve">cción de </w:t>
      </w:r>
      <w:r w:rsidR="006771EE" w:rsidRPr="0081375C">
        <w:rPr>
          <w:rFonts w:ascii="Arial" w:hAnsi="Arial" w:cs="Arial"/>
          <w:b/>
          <w:bCs/>
          <w:color w:val="000000" w:themeColor="text1"/>
        </w:rPr>
        <w:t>R</w:t>
      </w:r>
      <w:r w:rsidRPr="0081375C">
        <w:rPr>
          <w:rFonts w:ascii="Arial" w:hAnsi="Arial" w:cs="Arial"/>
          <w:b/>
          <w:bCs/>
          <w:color w:val="000000" w:themeColor="text1"/>
        </w:rPr>
        <w:t>estauración</w:t>
      </w:r>
    </w:p>
    <w:p w14:paraId="4E9DB156" w14:textId="77777777" w:rsidR="00C06090" w:rsidRPr="0081375C" w:rsidRDefault="00C06090" w:rsidP="003F6B53">
      <w:pPr>
        <w:spacing w:line="23" w:lineRule="atLeast"/>
        <w:jc w:val="both"/>
        <w:rPr>
          <w:rFonts w:ascii="Arial" w:hAnsi="Arial" w:cs="Arial"/>
          <w:b/>
          <w:bCs/>
          <w:color w:val="000000" w:themeColor="text1"/>
        </w:rPr>
      </w:pPr>
    </w:p>
    <w:p w14:paraId="20798838" w14:textId="258E568A"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El esquema PSAH del Distrito Especial de Medellín desarrollará acciones de restauración ecológica, entendidas como el restablecimiento de un ecosistema degradado a una condición similar previa al disturbio en composición, estructura y funcionamiento (MADS, 2015). Como en preservación, el participante adjuntará la declaración juramentada que certifique que las áreas propuestas no hacen parte de un proceso de compensación ante ninguna autoridad ambiental.</w:t>
      </w:r>
    </w:p>
    <w:p w14:paraId="7AC94FBA" w14:textId="77777777" w:rsidR="00C06090" w:rsidRPr="0081375C" w:rsidRDefault="00C06090" w:rsidP="003F6B53">
      <w:pPr>
        <w:spacing w:line="23" w:lineRule="atLeast"/>
        <w:jc w:val="both"/>
        <w:rPr>
          <w:rFonts w:ascii="Arial" w:hAnsi="Arial" w:cs="Arial"/>
          <w:color w:val="000000" w:themeColor="text1"/>
        </w:rPr>
      </w:pPr>
    </w:p>
    <w:p w14:paraId="470A4AD2"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El parágrafo del artículo 2.4.1.12 del Decreto 774 de 2024 (compilatorio del Decreto 1114 de 2023) establece que las acciones de restauración podrán ser activas o pasivas según las características del área a restaurar, conforme al informe de evaluación de predios (Sección 1.4.2.2), y condiciona su desarrollo a la disponibilidad de recursos del presupuesto de cada vigencia.</w:t>
      </w:r>
    </w:p>
    <w:p w14:paraId="02B90518" w14:textId="77777777" w:rsidR="00C06090" w:rsidRPr="0081375C" w:rsidRDefault="00C06090" w:rsidP="003F6B53">
      <w:pPr>
        <w:spacing w:line="23" w:lineRule="atLeast"/>
        <w:jc w:val="both"/>
        <w:rPr>
          <w:rFonts w:ascii="Arial" w:hAnsi="Arial" w:cs="Arial"/>
          <w:color w:val="000000" w:themeColor="text1"/>
        </w:rPr>
      </w:pPr>
    </w:p>
    <w:p w14:paraId="21F13FFA"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La caracterización del ecosistema estratégico identificó áreas con potencial para restauración ecológica, correspondientes a pastos enmalezados, pastos limpios, pastos arbolados y tierras degradadas. Su análisis bajo enfoque de paisaje muestra que los disturbios y su severidad no afectan de forma significativa la sucesión natural. Estas áreas cuentan con fuentes semilleras cercanas, bancos de semillas latentes y condiciones edáficas favorables, lo que facilita la restauración espontánea (pasiva).</w:t>
      </w:r>
    </w:p>
    <w:p w14:paraId="525D776A" w14:textId="77777777" w:rsidR="00C06090" w:rsidRPr="0081375C" w:rsidRDefault="00C06090" w:rsidP="003F6B53">
      <w:pPr>
        <w:spacing w:line="23" w:lineRule="atLeast"/>
        <w:jc w:val="both"/>
        <w:rPr>
          <w:rFonts w:ascii="Arial" w:hAnsi="Arial" w:cs="Arial"/>
          <w:color w:val="000000" w:themeColor="text1"/>
        </w:rPr>
      </w:pPr>
    </w:p>
    <w:p w14:paraId="328EE1DE"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Cuando un área requiera intervención directa basada en la gestión del ecosistema (control de especies invasoras, cerramientos mediante cercos o enriquecimiento con especies de estadios avanzados de la regeneración), el equipo técnico de la Secretaría de Medio Ambiente establecerá procesos de restauración asistida (activa), según el informe técnico de diagnóstico. El participante asumirá la inversión necesaria, y el compromiso quedará registrado en el acuerdo de conservación.</w:t>
      </w:r>
    </w:p>
    <w:p w14:paraId="3005C81B" w14:textId="77777777" w:rsidR="00C06090" w:rsidRPr="0081375C" w:rsidRDefault="00C06090" w:rsidP="003F6B53">
      <w:pPr>
        <w:spacing w:line="23" w:lineRule="atLeast"/>
        <w:jc w:val="both"/>
        <w:rPr>
          <w:rFonts w:ascii="Arial" w:hAnsi="Arial" w:cs="Arial"/>
          <w:color w:val="000000" w:themeColor="text1"/>
        </w:rPr>
      </w:pPr>
    </w:p>
    <w:p w14:paraId="5EC2F18C" w14:textId="21D818B9"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 xml:space="preserve">Para restauración, el parágrafo 2 del artículo 2.4.1.10 del Decreto 774 de 2024 (compilatorio del Decreto 1114 de 2023) establece: </w:t>
      </w:r>
      <w:r w:rsidRPr="0081375C">
        <w:rPr>
          <w:rFonts w:ascii="Arial" w:hAnsi="Arial"/>
          <w:i/>
          <w:color w:val="000000" w:themeColor="text1"/>
        </w:rPr>
        <w:t xml:space="preserve">"Para el reconocimiento del incentivo de la acción destinada a la restauración, se exigirá acreditar que los predios seleccionados no estuvieron cubiertos de ecosistemas naturales en los últimos tres (3) años, mediante información reportada por las autoridades ambientales competentes u otras entidades públicas, la cual hará parte de los documentos que soportan los </w:t>
      </w:r>
      <w:r w:rsidR="213F54E3" w:rsidRPr="0081375C">
        <w:rPr>
          <w:rFonts w:ascii="Arial" w:hAnsi="Arial"/>
          <w:i/>
          <w:color w:val="000000" w:themeColor="text1"/>
        </w:rPr>
        <w:t>a</w:t>
      </w:r>
      <w:r w:rsidR="53ABCE9C" w:rsidRPr="0081375C">
        <w:rPr>
          <w:rFonts w:ascii="Arial" w:hAnsi="Arial"/>
          <w:i/>
          <w:color w:val="000000" w:themeColor="text1"/>
        </w:rPr>
        <w:t>cuerdos</w:t>
      </w:r>
      <w:r w:rsidRPr="0081375C">
        <w:rPr>
          <w:rFonts w:ascii="Arial" w:hAnsi="Arial"/>
          <w:i/>
          <w:color w:val="000000" w:themeColor="text1"/>
        </w:rPr>
        <w:t xml:space="preserve"> que suscriban los beneficiarios del incentivo".</w:t>
      </w:r>
      <w:r w:rsidRPr="0081375C">
        <w:rPr>
          <w:rFonts w:ascii="Arial" w:hAnsi="Arial" w:cs="Arial"/>
          <w:color w:val="000000" w:themeColor="text1"/>
        </w:rPr>
        <w:t xml:space="preserve"> En cumplimiento de esto, la Secretaría realizará una verificación histórica mediante imágenes satelitales u ortofotografías que muestren con claridad las coberturas vegetales del periodo exigido, para confirmar que las áreas postuladas no fueron objeto de deforestación reciente; esta verificación se incluirá en el informe de evaluación. El propietario o poseedor también podrá aportar documentación que acredite la inexistencia de coberturas naturales en el área.</w:t>
      </w:r>
    </w:p>
    <w:p w14:paraId="216DC284" w14:textId="77777777" w:rsidR="00C06090" w:rsidRPr="0081375C" w:rsidRDefault="00C06090" w:rsidP="003F6B53">
      <w:pPr>
        <w:spacing w:line="23" w:lineRule="atLeast"/>
        <w:jc w:val="both"/>
        <w:rPr>
          <w:rFonts w:ascii="Arial" w:hAnsi="Arial" w:cs="Arial"/>
          <w:color w:val="000000" w:themeColor="text1"/>
        </w:rPr>
      </w:pPr>
    </w:p>
    <w:p w14:paraId="50ACAAF0" w14:textId="0B26A011" w:rsidR="00C06090"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 xml:space="preserve">El Parágrafo 1 del artículo 2.4.1.10 del Decreto 774 de 2024 (compilatorio del Decreto 1114 de 2023) establece: </w:t>
      </w:r>
      <w:r w:rsidRPr="0081375C">
        <w:rPr>
          <w:rFonts w:ascii="Arial" w:hAnsi="Arial"/>
          <w:i/>
          <w:color w:val="000000" w:themeColor="text1"/>
        </w:rPr>
        <w:t>"Dentro de las acciones destinadas a la restauración, se podrán incluir aquellas que se adelanten en sistemas productivos, respetando el régimen de uso y manejo del área o ecosistema estratégico del cual se trate, para lo cual se tendrá en cuenta la sostenibilidad de estas actividades, a partir de la restauración, de acuerdo a los lineamientos del Plan Nacional de Restauración y en consideración, además, a los lineamientos del Plan Nacional de Negocios Verdes de conformidad con el Artículo 2.2.9.8.2.4 del Decreto 1007 de 2018"</w:t>
      </w:r>
      <w:r w:rsidRPr="0081375C">
        <w:rPr>
          <w:rFonts w:ascii="Arial" w:hAnsi="Arial" w:cs="Arial"/>
          <w:color w:val="000000" w:themeColor="text1"/>
        </w:rPr>
        <w:t>. Por lo tanto, la Secretaría definirá con el propietario, poseedor u ocupante de buena fe exenta de culpa las actividades de restauración más convenientes, sean espontáneas (pasivas) o asistidas (activas). En predios con sistemas productivos en áreas y ecosistemas estratégicos, revisará la aplicación de la Resolución No. 0174 de 2025 para estimar el valor del incentivo.</w:t>
      </w:r>
    </w:p>
    <w:p w14:paraId="029623A6" w14:textId="77777777" w:rsidR="00825D4D" w:rsidRPr="0081375C" w:rsidRDefault="00825D4D" w:rsidP="003F6B53">
      <w:pPr>
        <w:spacing w:line="23" w:lineRule="atLeast"/>
        <w:jc w:val="both"/>
        <w:rPr>
          <w:rFonts w:ascii="Arial" w:hAnsi="Arial" w:cs="Arial"/>
          <w:color w:val="000000" w:themeColor="text1"/>
        </w:rPr>
      </w:pPr>
    </w:p>
    <w:p w14:paraId="54E25100"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noProof/>
          <w:color w:val="000000" w:themeColor="text1"/>
        </w:rPr>
        <w:lastRenderedPageBreak/>
        <w:drawing>
          <wp:inline distT="0" distB="0" distL="0" distR="0" wp14:anchorId="25D83DC9" wp14:editId="73C70A65">
            <wp:extent cx="5490210" cy="38182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0"/>
                    <a:stretch>
                      <a:fillRect/>
                    </a:stretch>
                  </pic:blipFill>
                  <pic:spPr bwMode="auto">
                    <a:xfrm>
                      <a:off x="0" y="0"/>
                      <a:ext cx="5490210" cy="3818255"/>
                    </a:xfrm>
                    <a:prstGeom prst="rect">
                      <a:avLst/>
                    </a:prstGeom>
                    <a:noFill/>
                  </pic:spPr>
                </pic:pic>
              </a:graphicData>
            </a:graphic>
          </wp:inline>
        </w:drawing>
      </w:r>
    </w:p>
    <w:p w14:paraId="094A419A" w14:textId="56CBE63E" w:rsidR="00825D4D" w:rsidRPr="0081375C" w:rsidRDefault="00732668" w:rsidP="00732668">
      <w:pPr>
        <w:pStyle w:val="Descripcin"/>
        <w:jc w:val="center"/>
        <w:rPr>
          <w:rFonts w:ascii="Arial" w:hAnsi="Arial" w:cs="Arial"/>
          <w:b/>
          <w:bCs/>
          <w:i w:val="0"/>
          <w:iCs w:val="0"/>
          <w:color w:val="000000" w:themeColor="text1"/>
          <w:sz w:val="20"/>
          <w:szCs w:val="20"/>
        </w:rPr>
      </w:pPr>
      <w:bookmarkStart w:id="70" w:name="_Toc233018496"/>
      <w:r w:rsidRPr="0081375C">
        <w:rPr>
          <w:rFonts w:ascii="Arial" w:hAnsi="Arial" w:cs="Arial"/>
          <w:b/>
          <w:bCs/>
          <w:i w:val="0"/>
          <w:iCs w:val="0"/>
          <w:color w:val="000000" w:themeColor="text1"/>
          <w:sz w:val="20"/>
          <w:szCs w:val="20"/>
        </w:rPr>
        <w:t xml:space="preserve">Figura </w:t>
      </w:r>
      <w:r w:rsidRPr="0081375C">
        <w:rPr>
          <w:rFonts w:ascii="Arial" w:hAnsi="Arial" w:cs="Arial"/>
          <w:b/>
          <w:bCs/>
          <w:i w:val="0"/>
          <w:iCs w:val="0"/>
          <w:color w:val="000000" w:themeColor="text1"/>
          <w:sz w:val="20"/>
          <w:szCs w:val="20"/>
        </w:rPr>
        <w:fldChar w:fldCharType="begin"/>
      </w:r>
      <w:r w:rsidRPr="0081375C">
        <w:rPr>
          <w:rFonts w:ascii="Arial" w:hAnsi="Arial" w:cs="Arial"/>
          <w:b/>
          <w:bCs/>
          <w:i w:val="0"/>
          <w:iCs w:val="0"/>
          <w:color w:val="000000" w:themeColor="text1"/>
          <w:sz w:val="20"/>
          <w:szCs w:val="20"/>
        </w:rPr>
        <w:instrText xml:space="preserve"> SEQ Figura \* ARABIC </w:instrText>
      </w:r>
      <w:r w:rsidRPr="0081375C">
        <w:rPr>
          <w:rFonts w:ascii="Arial" w:hAnsi="Arial" w:cs="Arial"/>
          <w:b/>
          <w:bCs/>
          <w:i w:val="0"/>
          <w:iCs w:val="0"/>
          <w:color w:val="000000" w:themeColor="text1"/>
          <w:sz w:val="20"/>
          <w:szCs w:val="20"/>
        </w:rPr>
        <w:fldChar w:fldCharType="separate"/>
      </w:r>
      <w:r w:rsidR="00C8722A" w:rsidRPr="0081375C">
        <w:rPr>
          <w:rFonts w:ascii="Arial" w:hAnsi="Arial" w:cs="Arial"/>
          <w:b/>
          <w:bCs/>
          <w:i w:val="0"/>
          <w:iCs w:val="0"/>
          <w:noProof/>
          <w:color w:val="000000" w:themeColor="text1"/>
          <w:sz w:val="20"/>
          <w:szCs w:val="20"/>
        </w:rPr>
        <w:t>5</w:t>
      </w:r>
      <w:r w:rsidRPr="0081375C">
        <w:rPr>
          <w:rFonts w:ascii="Arial" w:hAnsi="Arial" w:cs="Arial"/>
          <w:b/>
          <w:bCs/>
          <w:i w:val="0"/>
          <w:iCs w:val="0"/>
          <w:color w:val="000000" w:themeColor="text1"/>
          <w:sz w:val="20"/>
          <w:szCs w:val="20"/>
        </w:rPr>
        <w:fldChar w:fldCharType="end"/>
      </w:r>
      <w:r w:rsidRPr="0081375C">
        <w:rPr>
          <w:rFonts w:ascii="Arial" w:hAnsi="Arial" w:cs="Arial"/>
          <w:b/>
          <w:bCs/>
          <w:i w:val="0"/>
          <w:iCs w:val="0"/>
          <w:color w:val="000000" w:themeColor="text1"/>
          <w:sz w:val="20"/>
          <w:szCs w:val="20"/>
        </w:rPr>
        <w:t>. Acciones de restauración a desarrollar, según el uso del suelo definido en el área postulada y las necesidades identificadas en cada área.</w:t>
      </w:r>
      <w:bookmarkEnd w:id="70"/>
    </w:p>
    <w:p w14:paraId="610D6AA2"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La restauración ecológica se desarrollará bajo dos enfoques:</w:t>
      </w:r>
    </w:p>
    <w:p w14:paraId="5AC0A40A" w14:textId="77777777" w:rsidR="00825D4D" w:rsidRPr="0081375C" w:rsidRDefault="00825D4D" w:rsidP="003F6B53">
      <w:pPr>
        <w:spacing w:line="23" w:lineRule="atLeast"/>
        <w:jc w:val="both"/>
        <w:rPr>
          <w:rFonts w:ascii="Arial" w:hAnsi="Arial" w:cs="Arial"/>
          <w:color w:val="000000" w:themeColor="text1"/>
        </w:rPr>
      </w:pPr>
    </w:p>
    <w:p w14:paraId="2B61FB1C" w14:textId="352AC6FE"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b/>
          <w:bCs/>
          <w:color w:val="000000" w:themeColor="text1"/>
        </w:rPr>
        <w:t xml:space="preserve">Restauración </w:t>
      </w:r>
      <w:r w:rsidR="00503312" w:rsidRPr="0081375C">
        <w:rPr>
          <w:rFonts w:ascii="Arial" w:hAnsi="Arial" w:cs="Arial"/>
          <w:b/>
          <w:bCs/>
          <w:color w:val="000000" w:themeColor="text1"/>
        </w:rPr>
        <w:t>E</w:t>
      </w:r>
      <w:r w:rsidRPr="0081375C">
        <w:rPr>
          <w:rFonts w:ascii="Arial" w:hAnsi="Arial" w:cs="Arial"/>
          <w:b/>
          <w:bCs/>
          <w:color w:val="000000" w:themeColor="text1"/>
        </w:rPr>
        <w:t xml:space="preserve">cológica </w:t>
      </w:r>
      <w:r w:rsidR="00503312" w:rsidRPr="0081375C">
        <w:rPr>
          <w:rFonts w:ascii="Arial" w:hAnsi="Arial" w:cs="Arial"/>
          <w:b/>
          <w:bCs/>
          <w:color w:val="000000" w:themeColor="text1"/>
        </w:rPr>
        <w:t>E</w:t>
      </w:r>
      <w:r w:rsidRPr="0081375C">
        <w:rPr>
          <w:rFonts w:ascii="Arial" w:hAnsi="Arial" w:cs="Arial"/>
          <w:b/>
          <w:bCs/>
          <w:color w:val="000000" w:themeColor="text1"/>
        </w:rPr>
        <w:t>spontánea (pasiva).</w:t>
      </w:r>
      <w:r w:rsidRPr="0081375C">
        <w:rPr>
          <w:rFonts w:ascii="Arial" w:hAnsi="Arial" w:cs="Arial"/>
          <w:color w:val="000000" w:themeColor="text1"/>
        </w:rPr>
        <w:t xml:space="preserve"> Consiste en detener o controlar los agentes de degradación para que la regeneración natural actúe por sí sola. Durante la visita técnica, el equipo identificará y valorará los </w:t>
      </w:r>
      <w:proofErr w:type="spellStart"/>
      <w:r w:rsidRPr="0081375C">
        <w:rPr>
          <w:rFonts w:ascii="Arial" w:hAnsi="Arial" w:cs="Arial"/>
          <w:color w:val="000000" w:themeColor="text1"/>
        </w:rPr>
        <w:t>tensionantes</w:t>
      </w:r>
      <w:proofErr w:type="spellEnd"/>
      <w:r w:rsidRPr="0081375C">
        <w:rPr>
          <w:rFonts w:ascii="Arial" w:hAnsi="Arial" w:cs="Arial"/>
          <w:color w:val="000000" w:themeColor="text1"/>
        </w:rPr>
        <w:t xml:space="preserve"> y definirá las actividades necesarias. La primera suele ser el establecimiento de cercos de aislamiento, y muchos predios requerirán solo esta medida. Cuando otros </w:t>
      </w:r>
      <w:proofErr w:type="spellStart"/>
      <w:r w:rsidRPr="0081375C">
        <w:rPr>
          <w:rFonts w:ascii="Arial" w:hAnsi="Arial" w:cs="Arial"/>
          <w:color w:val="000000" w:themeColor="text1"/>
        </w:rPr>
        <w:t>tensionantes</w:t>
      </w:r>
      <w:proofErr w:type="spellEnd"/>
      <w:r w:rsidRPr="0081375C">
        <w:rPr>
          <w:rFonts w:ascii="Arial" w:hAnsi="Arial" w:cs="Arial"/>
          <w:color w:val="000000" w:themeColor="text1"/>
        </w:rPr>
        <w:t xml:space="preserve"> dificulten el crecimiento de especies arbóreas y arbustivas nativas, como especies invasoras o alta densidad de regeneración de especies exóticas, su manejo se incorporará al proceso. El informe de evaluación determinará la necesidad de estas actividades y establecerá su seguimiento.</w:t>
      </w:r>
    </w:p>
    <w:p w14:paraId="496CFBFB" w14:textId="77777777" w:rsidR="00732668" w:rsidRPr="0081375C" w:rsidRDefault="00732668" w:rsidP="003F6B53">
      <w:pPr>
        <w:spacing w:line="23" w:lineRule="atLeast"/>
        <w:jc w:val="both"/>
        <w:rPr>
          <w:rFonts w:ascii="Arial" w:hAnsi="Arial" w:cs="Arial"/>
          <w:color w:val="000000" w:themeColor="text1"/>
        </w:rPr>
      </w:pPr>
    </w:p>
    <w:p w14:paraId="6F996BDD" w14:textId="482D525E" w:rsidR="00825D4D" w:rsidRPr="0081375C" w:rsidRDefault="00825D4D" w:rsidP="003F6B53">
      <w:pPr>
        <w:spacing w:line="23" w:lineRule="atLeast"/>
        <w:jc w:val="both"/>
        <w:rPr>
          <w:rFonts w:ascii="Arial" w:hAnsi="Arial" w:cs="Arial"/>
          <w:color w:val="000000" w:themeColor="text1"/>
        </w:rPr>
      </w:pPr>
      <w:r w:rsidRPr="0081375C">
        <w:rPr>
          <w:rFonts w:ascii="Arial" w:hAnsi="Arial" w:cs="Arial"/>
          <w:color w:val="000000" w:themeColor="text1"/>
        </w:rPr>
        <w:t>Como complemento, se podrán implementar actividades que promuevan</w:t>
      </w:r>
      <w:r w:rsidR="78EE2C9A" w:rsidRPr="0081375C">
        <w:rPr>
          <w:rFonts w:ascii="Arial" w:hAnsi="Arial" w:cs="Arial"/>
          <w:color w:val="000000" w:themeColor="text1"/>
        </w:rPr>
        <w:t xml:space="preserve"> el</w:t>
      </w:r>
      <w:r w:rsidRPr="0081375C">
        <w:rPr>
          <w:rFonts w:ascii="Arial" w:hAnsi="Arial" w:cs="Arial"/>
          <w:color w:val="000000" w:themeColor="text1"/>
        </w:rPr>
        <w:t xml:space="preserve"> hábitat para la fauna y la llegada de polinizadores a las áreas bajo restauración.</w:t>
      </w:r>
    </w:p>
    <w:p w14:paraId="5C3A76D9" w14:textId="77777777" w:rsidR="00732668" w:rsidRPr="0081375C" w:rsidRDefault="00732668" w:rsidP="003F6B53">
      <w:pPr>
        <w:spacing w:line="23" w:lineRule="atLeast"/>
        <w:jc w:val="both"/>
        <w:rPr>
          <w:rFonts w:ascii="Arial" w:hAnsi="Arial" w:cs="Arial"/>
          <w:color w:val="000000" w:themeColor="text1"/>
        </w:rPr>
      </w:pPr>
    </w:p>
    <w:p w14:paraId="0B5B3B13" w14:textId="77569343" w:rsidR="00825D4D" w:rsidRPr="0081375C" w:rsidRDefault="00825D4D" w:rsidP="003F6B53">
      <w:pPr>
        <w:spacing w:line="23" w:lineRule="atLeast"/>
        <w:jc w:val="both"/>
        <w:rPr>
          <w:rFonts w:ascii="Arial" w:hAnsi="Arial" w:cs="Arial"/>
          <w:color w:val="000000" w:themeColor="text1"/>
        </w:rPr>
      </w:pPr>
      <w:r w:rsidRPr="0081375C">
        <w:rPr>
          <w:rFonts w:ascii="Arial" w:hAnsi="Arial" w:cs="Arial"/>
          <w:b/>
          <w:bCs/>
          <w:color w:val="000000" w:themeColor="text1"/>
        </w:rPr>
        <w:t xml:space="preserve">Restauración </w:t>
      </w:r>
      <w:r w:rsidR="00A134BF" w:rsidRPr="0081375C">
        <w:rPr>
          <w:rFonts w:ascii="Arial" w:hAnsi="Arial" w:cs="Arial"/>
          <w:b/>
          <w:bCs/>
          <w:color w:val="000000" w:themeColor="text1"/>
        </w:rPr>
        <w:t>E</w:t>
      </w:r>
      <w:r w:rsidRPr="0081375C">
        <w:rPr>
          <w:rFonts w:ascii="Arial" w:hAnsi="Arial" w:cs="Arial"/>
          <w:b/>
          <w:bCs/>
          <w:color w:val="000000" w:themeColor="text1"/>
        </w:rPr>
        <w:t xml:space="preserve">cológica </w:t>
      </w:r>
      <w:r w:rsidR="00A134BF" w:rsidRPr="0081375C">
        <w:rPr>
          <w:rFonts w:ascii="Arial" w:hAnsi="Arial" w:cs="Arial"/>
          <w:b/>
          <w:bCs/>
          <w:color w:val="000000" w:themeColor="text1"/>
        </w:rPr>
        <w:t>A</w:t>
      </w:r>
      <w:r w:rsidRPr="0081375C">
        <w:rPr>
          <w:rFonts w:ascii="Arial" w:hAnsi="Arial" w:cs="Arial"/>
          <w:b/>
          <w:bCs/>
          <w:color w:val="000000" w:themeColor="text1"/>
        </w:rPr>
        <w:t>sistida (activa).</w:t>
      </w:r>
      <w:r w:rsidRPr="0081375C">
        <w:rPr>
          <w:rFonts w:ascii="Arial" w:hAnsi="Arial" w:cs="Arial"/>
          <w:color w:val="000000" w:themeColor="text1"/>
        </w:rPr>
        <w:t xml:space="preserve"> Requiere la siembra de especies arbóreas o arbustivas nativas, además de las acciones propias de la restauración espontánea: establecimiento o mantenimiento de cercos de aislamiento, control de especies invasoras, </w:t>
      </w:r>
      <w:r w:rsidRPr="0081375C">
        <w:rPr>
          <w:rFonts w:ascii="Arial" w:hAnsi="Arial" w:cs="Arial"/>
          <w:color w:val="000000" w:themeColor="text1"/>
        </w:rPr>
        <w:lastRenderedPageBreak/>
        <w:t>control de procesos erosivos y control de la regeneración de especies exóticas. La siembra seguirá estos pasos:</w:t>
      </w:r>
    </w:p>
    <w:p w14:paraId="56A840FB" w14:textId="77777777" w:rsidR="00732668" w:rsidRPr="0081375C" w:rsidRDefault="00732668" w:rsidP="003F6B53">
      <w:pPr>
        <w:spacing w:line="23" w:lineRule="atLeast"/>
        <w:jc w:val="both"/>
        <w:rPr>
          <w:rFonts w:ascii="Arial" w:hAnsi="Arial" w:cs="Arial"/>
          <w:color w:val="000000" w:themeColor="text1"/>
        </w:rPr>
      </w:pPr>
    </w:p>
    <w:p w14:paraId="0A2F391A" w14:textId="0287587D" w:rsidR="00825D4D" w:rsidRPr="0081375C" w:rsidRDefault="00825D4D" w:rsidP="003F6B53">
      <w:pPr>
        <w:spacing w:line="23" w:lineRule="atLeast"/>
        <w:jc w:val="both"/>
        <w:rPr>
          <w:rFonts w:ascii="Arial" w:hAnsi="Arial" w:cs="Arial"/>
          <w:color w:val="000000" w:themeColor="text1"/>
        </w:rPr>
      </w:pPr>
      <w:r w:rsidRPr="0081375C">
        <w:rPr>
          <w:rFonts w:ascii="Arial" w:hAnsi="Arial" w:cs="Arial"/>
          <w:color w:val="000000" w:themeColor="text1"/>
        </w:rPr>
        <w:t xml:space="preserve">Primero, se identificarán las zonas con menor probabilidad de regeneración natural: suelos compactados, áreas alejadas de bosques con escasa llegada de semillas, o zonas con dominancia de una herbácea de crecimiento rápido y denso, como el pasto </w:t>
      </w:r>
      <w:proofErr w:type="spellStart"/>
      <w:r w:rsidRPr="0081375C">
        <w:rPr>
          <w:rFonts w:ascii="Arial" w:hAnsi="Arial" w:cs="Arial"/>
          <w:color w:val="000000" w:themeColor="text1"/>
        </w:rPr>
        <w:t>kikuyo</w:t>
      </w:r>
      <w:proofErr w:type="spellEnd"/>
      <w:r w:rsidRPr="0081375C">
        <w:rPr>
          <w:rFonts w:ascii="Arial" w:hAnsi="Arial" w:cs="Arial"/>
          <w:color w:val="000000" w:themeColor="text1"/>
        </w:rPr>
        <w:t xml:space="preserve"> (</w:t>
      </w:r>
      <w:proofErr w:type="spellStart"/>
      <w:r w:rsidRPr="0081375C">
        <w:rPr>
          <w:rFonts w:ascii="Arial" w:hAnsi="Arial" w:cs="Arial"/>
          <w:i/>
          <w:color w:val="000000" w:themeColor="text1"/>
        </w:rPr>
        <w:t>Pennisetum</w:t>
      </w:r>
      <w:proofErr w:type="spellEnd"/>
      <w:r w:rsidRPr="0081375C">
        <w:rPr>
          <w:rFonts w:ascii="Arial" w:hAnsi="Arial" w:cs="Arial"/>
          <w:i/>
          <w:color w:val="000000" w:themeColor="text1"/>
        </w:rPr>
        <w:t xml:space="preserve"> </w:t>
      </w:r>
      <w:proofErr w:type="spellStart"/>
      <w:r w:rsidRPr="0081375C">
        <w:rPr>
          <w:rFonts w:ascii="Arial" w:hAnsi="Arial" w:cs="Arial"/>
          <w:i/>
          <w:color w:val="000000" w:themeColor="text1"/>
        </w:rPr>
        <w:t>clandestinum</w:t>
      </w:r>
      <w:proofErr w:type="spellEnd"/>
      <w:r w:rsidRPr="0081375C">
        <w:rPr>
          <w:rFonts w:ascii="Arial" w:hAnsi="Arial" w:cs="Arial"/>
          <w:color w:val="000000" w:themeColor="text1"/>
        </w:rPr>
        <w:t>) o el helecho marranero (</w:t>
      </w:r>
      <w:proofErr w:type="spellStart"/>
      <w:r w:rsidRPr="0081375C">
        <w:rPr>
          <w:rFonts w:ascii="Arial" w:hAnsi="Arial" w:cs="Arial"/>
          <w:i/>
          <w:color w:val="000000" w:themeColor="text1"/>
        </w:rPr>
        <w:t>Pteridium</w:t>
      </w:r>
      <w:proofErr w:type="spellEnd"/>
      <w:r w:rsidRPr="0081375C">
        <w:rPr>
          <w:rFonts w:ascii="Arial" w:hAnsi="Arial" w:cs="Arial"/>
          <w:i/>
          <w:color w:val="000000" w:themeColor="text1"/>
        </w:rPr>
        <w:t xml:space="preserve"> </w:t>
      </w:r>
      <w:proofErr w:type="spellStart"/>
      <w:r w:rsidRPr="0081375C">
        <w:rPr>
          <w:rFonts w:ascii="Arial" w:hAnsi="Arial" w:cs="Arial"/>
          <w:i/>
          <w:color w:val="000000" w:themeColor="text1"/>
        </w:rPr>
        <w:t>aquilinum</w:t>
      </w:r>
      <w:proofErr w:type="spellEnd"/>
      <w:r w:rsidRPr="0081375C">
        <w:rPr>
          <w:rFonts w:ascii="Arial" w:hAnsi="Arial" w:cs="Arial"/>
          <w:color w:val="000000" w:themeColor="text1"/>
        </w:rPr>
        <w:t>).</w:t>
      </w:r>
    </w:p>
    <w:p w14:paraId="7A14021C" w14:textId="77777777" w:rsidR="00732668" w:rsidRPr="0081375C" w:rsidRDefault="00732668" w:rsidP="003F6B53">
      <w:pPr>
        <w:spacing w:line="23" w:lineRule="atLeast"/>
        <w:jc w:val="both"/>
        <w:rPr>
          <w:rFonts w:ascii="Arial" w:hAnsi="Arial" w:cs="Arial"/>
          <w:color w:val="000000" w:themeColor="text1"/>
        </w:rPr>
      </w:pPr>
    </w:p>
    <w:p w14:paraId="4A12A6DB" w14:textId="1D3EBD7E" w:rsidR="00825D4D" w:rsidRPr="0081375C" w:rsidRDefault="00825D4D" w:rsidP="003F6B53">
      <w:pPr>
        <w:spacing w:line="23" w:lineRule="atLeast"/>
        <w:jc w:val="both"/>
        <w:rPr>
          <w:rFonts w:ascii="Arial" w:hAnsi="Arial" w:cs="Arial"/>
          <w:color w:val="000000" w:themeColor="text1"/>
        </w:rPr>
      </w:pPr>
      <w:r w:rsidRPr="0081375C">
        <w:rPr>
          <w:rFonts w:ascii="Arial" w:hAnsi="Arial" w:cs="Arial"/>
          <w:color w:val="000000" w:themeColor="text1"/>
        </w:rPr>
        <w:t>Definida el área, y cuando sea extensa, se realizará un análisis fisicoquímico del suelo para precisar las actividades necesarias para el establecimiento y crecimiento del material vegetal. Este análisis permite ajustar la fertilización a las necesidades reales de las plantas, práctica sostenible que evita que elementos innecesarios lleguen a las fuentes hídricas. El informe técnico de evaluación definirá su necesidad.</w:t>
      </w:r>
    </w:p>
    <w:p w14:paraId="190786DE" w14:textId="77777777" w:rsidR="00732668" w:rsidRPr="0081375C" w:rsidRDefault="00732668" w:rsidP="003F6B53">
      <w:pPr>
        <w:spacing w:line="23" w:lineRule="atLeast"/>
        <w:jc w:val="both"/>
        <w:rPr>
          <w:rFonts w:ascii="Arial" w:hAnsi="Arial" w:cs="Arial"/>
          <w:color w:val="000000" w:themeColor="text1"/>
        </w:rPr>
      </w:pPr>
    </w:p>
    <w:p w14:paraId="4897EDDC"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La selección de especies se basará en el anexo de esta guía, el Informe Final de Monitoreo de la Vegetación en los Predios del Esquema de PSAH del Distrito Especial de Medellín (2022), que registra las especies de los bosques montanos del ecosistema estratégico por corregimiento e indica cuáles son exclusivas de bosques desarrollados y cuáles aparecen en etapas tempranas de la sucesión (pastos enmalezados o vegetación secundaria baja). La Tabla 14 lista especies apropiadas para la restauración en áreas PSAH; debe ajustarse según el corregimiento, conforme al informe citado. Se recomienda incluir especies pioneras fijadoras de nitrógeno que aporten nutrientes a las especies cercanas.</w:t>
      </w:r>
    </w:p>
    <w:p w14:paraId="078CE3A5" w14:textId="77777777" w:rsidR="00825D4D" w:rsidRPr="0081375C" w:rsidRDefault="00825D4D" w:rsidP="003F6B53">
      <w:pPr>
        <w:spacing w:line="23" w:lineRule="atLeast"/>
        <w:jc w:val="both"/>
        <w:rPr>
          <w:rFonts w:ascii="Arial" w:hAnsi="Arial" w:cs="Arial"/>
          <w:color w:val="000000" w:themeColor="text1"/>
        </w:rPr>
      </w:pPr>
    </w:p>
    <w:p w14:paraId="57268B5D" w14:textId="48BD3D00" w:rsidR="00825D4D" w:rsidRPr="0081375C" w:rsidRDefault="009F140C" w:rsidP="00732668">
      <w:pPr>
        <w:spacing w:line="23" w:lineRule="atLeast"/>
        <w:jc w:val="both"/>
        <w:rPr>
          <w:rFonts w:ascii="Arial" w:hAnsi="Arial" w:cs="Arial"/>
          <w:b/>
          <w:bCs/>
          <w:color w:val="000000" w:themeColor="text1"/>
          <w:sz w:val="20"/>
          <w:szCs w:val="20"/>
        </w:rPr>
      </w:pPr>
      <w:bookmarkStart w:id="71" w:name="_Toc233040672"/>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24</w:t>
      </w:r>
      <w:r w:rsidRPr="0081375C">
        <w:rPr>
          <w:rFonts w:ascii="Arial" w:hAnsi="Arial" w:cs="Arial"/>
          <w:b/>
          <w:bCs/>
          <w:color w:val="000000" w:themeColor="text1"/>
          <w:sz w:val="20"/>
          <w:szCs w:val="20"/>
        </w:rPr>
        <w:fldChar w:fldCharType="end"/>
      </w:r>
      <w:r w:rsidR="00806784" w:rsidRPr="0081375C">
        <w:rPr>
          <w:rFonts w:ascii="Arial" w:hAnsi="Arial" w:cs="Arial"/>
          <w:b/>
          <w:bCs/>
          <w:color w:val="000000" w:themeColor="text1"/>
          <w:sz w:val="20"/>
          <w:szCs w:val="20"/>
        </w:rPr>
        <w:t>. Especies de árboles y arbustos registradas en el monitoreo de 2022, observadas en estadios tempranos de la regeneración natural o en pastos enmalezados y vegetaciones secundarias.</w:t>
      </w:r>
      <w:bookmarkEnd w:id="71"/>
      <w:r w:rsidR="00806784" w:rsidRPr="0081375C">
        <w:rPr>
          <w:rFonts w:ascii="Arial" w:hAnsi="Arial" w:cs="Arial"/>
          <w:b/>
          <w:bCs/>
          <w:color w:val="000000" w:themeColor="text1"/>
          <w:sz w:val="20"/>
          <w:szCs w:val="20"/>
        </w:rPr>
        <w:t> </w:t>
      </w:r>
    </w:p>
    <w:tbl>
      <w:tblPr>
        <w:tblW w:w="5000" w:type="pct"/>
        <w:tblCellMar>
          <w:left w:w="7" w:type="dxa"/>
          <w:right w:w="7" w:type="dxa"/>
        </w:tblCellMar>
        <w:tblLook w:val="04A0" w:firstRow="1" w:lastRow="0" w:firstColumn="1" w:lastColumn="0" w:noHBand="0" w:noVBand="1"/>
      </w:tblPr>
      <w:tblGrid>
        <w:gridCol w:w="8630"/>
      </w:tblGrid>
      <w:tr w:rsidR="00825D4D" w:rsidRPr="0081375C" w14:paraId="090480D9" w14:textId="77777777" w:rsidTr="006376BC">
        <w:trPr>
          <w:trHeight w:val="300"/>
          <w:tblHeader/>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BD6624" w14:textId="27BA7040" w:rsidR="00825D4D" w:rsidRPr="0081375C" w:rsidRDefault="00806784" w:rsidP="00850D9B">
            <w:pPr>
              <w:spacing w:line="23" w:lineRule="atLeast"/>
              <w:jc w:val="center"/>
              <w:rPr>
                <w:rFonts w:ascii="Arial" w:hAnsi="Arial" w:cs="Arial"/>
                <w:color w:val="000000" w:themeColor="text1"/>
              </w:rPr>
            </w:pPr>
            <w:r w:rsidRPr="0081375C">
              <w:rPr>
                <w:rFonts w:ascii="Arial" w:hAnsi="Arial" w:cs="Arial"/>
                <w:b/>
                <w:bCs/>
                <w:color w:val="000000" w:themeColor="text1"/>
              </w:rPr>
              <w:t>Especies</w:t>
            </w:r>
          </w:p>
        </w:tc>
      </w:tr>
      <w:tr w:rsidR="00825D4D" w:rsidRPr="0081375C" w14:paraId="15F0169E"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CFAB6C" w14:textId="640C5D17"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Alchornea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verticillata</w:t>
            </w:r>
            <w:proofErr w:type="spellEnd"/>
          </w:p>
        </w:tc>
      </w:tr>
      <w:tr w:rsidR="00825D4D" w:rsidRPr="0081375C" w14:paraId="4410AA44"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A070B5" w14:textId="7433469C"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Andesanthus</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lepidotus</w:t>
            </w:r>
            <w:proofErr w:type="spellEnd"/>
          </w:p>
        </w:tc>
      </w:tr>
      <w:tr w:rsidR="00825D4D" w:rsidRPr="0081375C" w14:paraId="7500A63B"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60DCBA" w14:textId="59AD8EFF" w:rsidR="00825D4D" w:rsidRPr="0081375C" w:rsidRDefault="00806784" w:rsidP="00850D9B">
            <w:pPr>
              <w:spacing w:line="23" w:lineRule="atLeast"/>
              <w:jc w:val="center"/>
              <w:rPr>
                <w:rFonts w:ascii="Arial" w:hAnsi="Arial" w:cs="Arial"/>
                <w:color w:val="000000" w:themeColor="text1"/>
              </w:rPr>
            </w:pPr>
            <w:r w:rsidRPr="0081375C">
              <w:rPr>
                <w:rFonts w:ascii="Arial" w:hAnsi="Arial" w:cs="Arial"/>
                <w:i/>
                <w:iCs/>
                <w:color w:val="000000" w:themeColor="text1"/>
              </w:rPr>
              <w:t>Baccharis</w:t>
            </w:r>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nitida</w:t>
            </w:r>
            <w:proofErr w:type="spellEnd"/>
          </w:p>
        </w:tc>
      </w:tr>
      <w:tr w:rsidR="00825D4D" w:rsidRPr="0081375C" w14:paraId="60D27E30"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F61D65" w14:textId="1DFB8A5C" w:rsidR="00825D4D" w:rsidRPr="0081375C" w:rsidRDefault="00806784" w:rsidP="00850D9B">
            <w:pPr>
              <w:spacing w:line="23" w:lineRule="atLeast"/>
              <w:jc w:val="center"/>
              <w:rPr>
                <w:rFonts w:ascii="Arial" w:hAnsi="Arial" w:cs="Arial"/>
                <w:color w:val="000000" w:themeColor="text1"/>
              </w:rPr>
            </w:pPr>
            <w:r w:rsidRPr="0081375C">
              <w:rPr>
                <w:rFonts w:ascii="Arial" w:hAnsi="Arial" w:cs="Arial"/>
                <w:i/>
                <w:iCs/>
                <w:color w:val="000000" w:themeColor="text1"/>
              </w:rPr>
              <w:t>Boehmeria caudata</w:t>
            </w:r>
          </w:p>
        </w:tc>
      </w:tr>
      <w:tr w:rsidR="00825D4D" w:rsidRPr="0081375C" w14:paraId="5938435E"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FD0C2" w14:textId="5FB55F16"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Cecropia</w:t>
            </w:r>
            <w:proofErr w:type="spellEnd"/>
            <w:r w:rsidR="002D5C63" w:rsidRPr="0081375C">
              <w:rPr>
                <w:rFonts w:ascii="Arial" w:hAnsi="Arial" w:cs="Arial"/>
                <w:i/>
                <w:iCs/>
                <w:color w:val="000000" w:themeColor="text1"/>
              </w:rPr>
              <w:t xml:space="preserve"> </w:t>
            </w:r>
            <w:r w:rsidRPr="0081375C">
              <w:rPr>
                <w:rFonts w:ascii="Arial" w:hAnsi="Arial" w:cs="Arial"/>
                <w:i/>
                <w:iCs/>
                <w:color w:val="000000" w:themeColor="text1"/>
              </w:rPr>
              <w:t>angustifolia</w:t>
            </w:r>
          </w:p>
        </w:tc>
      </w:tr>
      <w:tr w:rsidR="00825D4D" w:rsidRPr="0081375C" w14:paraId="0B5A9892"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7D6362" w14:textId="380DDD23"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Clethra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fagifolia</w:t>
            </w:r>
            <w:proofErr w:type="spellEnd"/>
          </w:p>
        </w:tc>
      </w:tr>
      <w:tr w:rsidR="00825D4D" w:rsidRPr="0081375C" w14:paraId="4E970364"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9BD715" w14:textId="30AF3E9B"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Clusia</w:t>
            </w:r>
            <w:proofErr w:type="spellEnd"/>
            <w:r w:rsidR="002D5C63" w:rsidRPr="0081375C">
              <w:rPr>
                <w:rFonts w:ascii="Arial" w:hAnsi="Arial" w:cs="Arial"/>
                <w:i/>
                <w:iCs/>
                <w:color w:val="000000" w:themeColor="text1"/>
              </w:rPr>
              <w:t xml:space="preserve"> </w:t>
            </w:r>
            <w:r w:rsidRPr="0081375C">
              <w:rPr>
                <w:rFonts w:ascii="Arial" w:hAnsi="Arial" w:cs="Arial"/>
                <w:i/>
                <w:iCs/>
                <w:color w:val="000000" w:themeColor="text1"/>
              </w:rPr>
              <w:t>multiflora</w:t>
            </w:r>
          </w:p>
        </w:tc>
      </w:tr>
      <w:tr w:rsidR="00825D4D" w:rsidRPr="0081375C" w14:paraId="03D386C6"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69E71A" w14:textId="55A85B52"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Croton</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mutisianus</w:t>
            </w:r>
            <w:proofErr w:type="spellEnd"/>
          </w:p>
        </w:tc>
      </w:tr>
      <w:tr w:rsidR="00825D4D" w:rsidRPr="0081375C" w14:paraId="66D41504"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E6017D" w14:textId="2B09D16D"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Drimys</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granadensis</w:t>
            </w:r>
            <w:proofErr w:type="spellEnd"/>
          </w:p>
        </w:tc>
      </w:tr>
      <w:tr w:rsidR="00825D4D" w:rsidRPr="0081375C" w14:paraId="6976EE64"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3716E9" w14:textId="18FD6AB9"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Hedyosmum</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bonplandianum</w:t>
            </w:r>
            <w:proofErr w:type="spellEnd"/>
          </w:p>
        </w:tc>
      </w:tr>
      <w:tr w:rsidR="00825D4D" w:rsidRPr="0081375C" w14:paraId="455E1008"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A45503" w14:textId="684F6EF9"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Heliocarpus</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americanus</w:t>
            </w:r>
            <w:proofErr w:type="spellEnd"/>
          </w:p>
        </w:tc>
      </w:tr>
      <w:tr w:rsidR="00825D4D" w:rsidRPr="0081375C" w14:paraId="5F82485D"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99E8BC" w14:textId="668E1BC4" w:rsidR="00825D4D" w:rsidRPr="0081375C" w:rsidRDefault="00806784" w:rsidP="00850D9B">
            <w:pPr>
              <w:spacing w:line="23" w:lineRule="atLeast"/>
              <w:jc w:val="center"/>
              <w:rPr>
                <w:rFonts w:ascii="Arial" w:hAnsi="Arial" w:cs="Arial"/>
                <w:color w:val="000000" w:themeColor="text1"/>
              </w:rPr>
            </w:pPr>
            <w:r w:rsidRPr="0081375C">
              <w:rPr>
                <w:rFonts w:ascii="Arial" w:hAnsi="Arial" w:cs="Arial"/>
                <w:i/>
                <w:iCs/>
                <w:color w:val="000000" w:themeColor="text1"/>
              </w:rPr>
              <w:t>Inga</w:t>
            </w:r>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sp</w:t>
            </w:r>
            <w:proofErr w:type="spellEnd"/>
            <w:r w:rsidRPr="0081375C">
              <w:rPr>
                <w:rFonts w:ascii="Arial" w:hAnsi="Arial" w:cs="Arial"/>
                <w:i/>
                <w:iCs/>
                <w:color w:val="000000" w:themeColor="text1"/>
              </w:rPr>
              <w:t>.</w:t>
            </w:r>
          </w:p>
        </w:tc>
      </w:tr>
      <w:tr w:rsidR="00825D4D" w:rsidRPr="0081375C" w14:paraId="56C2E3C6"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1F1059" w14:textId="48921E63"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lastRenderedPageBreak/>
              <w:t>Lippia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schlimii</w:t>
            </w:r>
            <w:proofErr w:type="spellEnd"/>
          </w:p>
        </w:tc>
      </w:tr>
      <w:tr w:rsidR="00825D4D" w:rsidRPr="0081375C" w14:paraId="26A566DC"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A8FAAD" w14:textId="4F94FE61"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Miconia</w:t>
            </w:r>
            <w:proofErr w:type="spellEnd"/>
            <w:r w:rsidR="002D5C63" w:rsidRPr="0081375C">
              <w:rPr>
                <w:rFonts w:ascii="Arial" w:hAnsi="Arial" w:cs="Arial"/>
                <w:i/>
                <w:iCs/>
                <w:color w:val="000000" w:themeColor="text1"/>
              </w:rPr>
              <w:t xml:space="preserve"> </w:t>
            </w:r>
            <w:r w:rsidRPr="0081375C">
              <w:rPr>
                <w:rFonts w:ascii="Arial" w:hAnsi="Arial" w:cs="Arial"/>
                <w:i/>
                <w:iCs/>
                <w:color w:val="000000" w:themeColor="text1"/>
              </w:rPr>
              <w:t>caudata</w:t>
            </w:r>
          </w:p>
        </w:tc>
      </w:tr>
      <w:tr w:rsidR="00825D4D" w:rsidRPr="0081375C" w14:paraId="55FA4DC5"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67DF9D" w14:textId="21512720"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Myrcia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popayanensis</w:t>
            </w:r>
            <w:proofErr w:type="spellEnd"/>
          </w:p>
        </w:tc>
      </w:tr>
      <w:tr w:rsidR="00825D4D" w:rsidRPr="0081375C" w14:paraId="04255202"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866032" w14:textId="5E53629A"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Myrsine</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coriacea</w:t>
            </w:r>
            <w:proofErr w:type="spellEnd"/>
          </w:p>
        </w:tc>
      </w:tr>
      <w:tr w:rsidR="00825D4D" w:rsidRPr="0081375C" w14:paraId="589C8A76"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C7C350" w14:textId="0D764F13"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Oreopanax</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trianae</w:t>
            </w:r>
            <w:proofErr w:type="spellEnd"/>
          </w:p>
        </w:tc>
      </w:tr>
      <w:tr w:rsidR="00825D4D" w:rsidRPr="0081375C" w14:paraId="177BFBF7"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78A5C4" w14:textId="682DEFA0"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Palicourea</w:t>
            </w:r>
            <w:proofErr w:type="spellEnd"/>
            <w:r w:rsidR="002D5C63" w:rsidRPr="0081375C">
              <w:rPr>
                <w:rFonts w:ascii="Arial" w:hAnsi="Arial" w:cs="Arial"/>
                <w:i/>
                <w:iCs/>
                <w:color w:val="000000" w:themeColor="text1"/>
              </w:rPr>
              <w:t xml:space="preserve"> </w:t>
            </w:r>
            <w:r w:rsidRPr="0081375C">
              <w:rPr>
                <w:rFonts w:ascii="Arial" w:hAnsi="Arial" w:cs="Arial"/>
                <w:i/>
                <w:iCs/>
                <w:color w:val="000000" w:themeColor="text1"/>
              </w:rPr>
              <w:t>angustifolia</w:t>
            </w:r>
          </w:p>
        </w:tc>
      </w:tr>
      <w:tr w:rsidR="00825D4D" w:rsidRPr="0081375C" w14:paraId="1B684BC1"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7DE935" w14:textId="5131BC7C"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Varronia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polystachya</w:t>
            </w:r>
            <w:proofErr w:type="spellEnd"/>
          </w:p>
        </w:tc>
      </w:tr>
      <w:tr w:rsidR="00825D4D" w:rsidRPr="0081375C" w14:paraId="2417AABF"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2EF91E" w14:textId="08AA85A1"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Verbesina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nudipes</w:t>
            </w:r>
            <w:proofErr w:type="spellEnd"/>
          </w:p>
        </w:tc>
      </w:tr>
      <w:tr w:rsidR="00825D4D" w:rsidRPr="0081375C" w14:paraId="45F97454"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FE39BA" w14:textId="5D9E2E03"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Viburnum</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undulatum</w:t>
            </w:r>
            <w:proofErr w:type="spellEnd"/>
          </w:p>
        </w:tc>
      </w:tr>
      <w:tr w:rsidR="00825D4D" w:rsidRPr="0081375C" w14:paraId="62416FAD"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F0999A" w14:textId="33C09E09"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Vismia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baccifera</w:t>
            </w:r>
            <w:proofErr w:type="spellEnd"/>
          </w:p>
        </w:tc>
      </w:tr>
      <w:tr w:rsidR="00825D4D" w:rsidRPr="0081375C" w14:paraId="01A62793"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662BAC" w14:textId="43F59D8F"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Vismia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guianensis</w:t>
            </w:r>
            <w:proofErr w:type="spellEnd"/>
          </w:p>
        </w:tc>
      </w:tr>
      <w:tr w:rsidR="00825D4D" w:rsidRPr="0081375C" w14:paraId="2ED86CB4" w14:textId="77777777" w:rsidTr="00850D9B">
        <w:trPr>
          <w:trHeight w:val="30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8EDD2" w14:textId="694A36DA" w:rsidR="00825D4D" w:rsidRPr="0081375C" w:rsidRDefault="00806784" w:rsidP="00850D9B">
            <w:pPr>
              <w:spacing w:line="23" w:lineRule="atLeast"/>
              <w:jc w:val="center"/>
              <w:rPr>
                <w:rFonts w:ascii="Arial" w:hAnsi="Arial" w:cs="Arial"/>
                <w:color w:val="000000" w:themeColor="text1"/>
              </w:rPr>
            </w:pPr>
            <w:proofErr w:type="spellStart"/>
            <w:r w:rsidRPr="0081375C">
              <w:rPr>
                <w:rFonts w:ascii="Arial" w:hAnsi="Arial" w:cs="Arial"/>
                <w:i/>
                <w:iCs/>
                <w:color w:val="000000" w:themeColor="text1"/>
              </w:rPr>
              <w:t>Weinmannia</w:t>
            </w:r>
            <w:proofErr w:type="spellEnd"/>
            <w:r w:rsidR="002D5C63" w:rsidRPr="0081375C">
              <w:rPr>
                <w:rFonts w:ascii="Arial" w:hAnsi="Arial" w:cs="Arial"/>
                <w:i/>
                <w:iCs/>
                <w:color w:val="000000" w:themeColor="text1"/>
              </w:rPr>
              <w:t xml:space="preserve"> </w:t>
            </w:r>
            <w:proofErr w:type="spellStart"/>
            <w:r w:rsidRPr="0081375C">
              <w:rPr>
                <w:rFonts w:ascii="Arial" w:hAnsi="Arial" w:cs="Arial"/>
                <w:i/>
                <w:iCs/>
                <w:color w:val="000000" w:themeColor="text1"/>
              </w:rPr>
              <w:t>pubescens</w:t>
            </w:r>
            <w:proofErr w:type="spellEnd"/>
          </w:p>
        </w:tc>
      </w:tr>
    </w:tbl>
    <w:p w14:paraId="1A433875" w14:textId="77777777" w:rsidR="00732668" w:rsidRPr="0081375C" w:rsidRDefault="00732668" w:rsidP="003F6B53">
      <w:pPr>
        <w:spacing w:line="23" w:lineRule="atLeast"/>
        <w:jc w:val="both"/>
        <w:rPr>
          <w:rFonts w:ascii="Arial" w:hAnsi="Arial" w:cs="Arial"/>
          <w:color w:val="000000" w:themeColor="text1"/>
        </w:rPr>
      </w:pPr>
    </w:p>
    <w:p w14:paraId="04F582B4" w14:textId="447A134D"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La siembra en restauración activa no será uniforme sobre toda el área, sino que seguirá el enfoque de nucleación de Holl et al. (2020): núcleos de 4 x 4 m, 8 x 8 m y 12 x 12 m según la disponibilidad de área en cada predio, con distancia entre núcleos de 8 m (mínimo) a 20 m (máximo) y distancia de siembra de 2,8 m, conforme al estudio citado. La plantación completa resulta igualmente efectiva para recuperar grupos florísticos y faunísticos, la estructura de la vegetación y las funciones del ecosistema.</w:t>
      </w:r>
    </w:p>
    <w:p w14:paraId="59A3F8C6" w14:textId="77777777" w:rsidR="00825D4D" w:rsidRPr="0081375C" w:rsidRDefault="00825D4D" w:rsidP="003F6B53">
      <w:pPr>
        <w:spacing w:line="23" w:lineRule="atLeast"/>
        <w:jc w:val="both"/>
        <w:rPr>
          <w:rFonts w:ascii="Arial" w:hAnsi="Arial" w:cs="Arial"/>
          <w:color w:val="000000" w:themeColor="text1"/>
        </w:rPr>
      </w:pPr>
    </w:p>
    <w:p w14:paraId="028BA56A"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El esquema adopta la nucleación por ser más costo-efectiva. Las condiciones de cada predio podrán justificar variaciones para el mejor desarrollo del proceso. En cada área de restauración activa se establecerá un núcleo de 12 x 12 m, o al menos de 8 x 8 m, que permita instalar una parcela de monitoreo con radio de 5 m.</w:t>
      </w:r>
    </w:p>
    <w:p w14:paraId="7AB282F8" w14:textId="77777777" w:rsidR="00732668" w:rsidRPr="0081375C" w:rsidRDefault="00732668" w:rsidP="003F6B53">
      <w:pPr>
        <w:spacing w:line="23" w:lineRule="atLeast"/>
        <w:jc w:val="both"/>
        <w:rPr>
          <w:rFonts w:ascii="Arial" w:hAnsi="Arial" w:cs="Arial"/>
          <w:color w:val="000000" w:themeColor="text1"/>
        </w:rPr>
      </w:pPr>
    </w:p>
    <w:p w14:paraId="4255930C" w14:textId="77777777" w:rsidR="00825D4D" w:rsidRPr="0081375C" w:rsidRDefault="00806784" w:rsidP="00732668">
      <w:pPr>
        <w:spacing w:line="23" w:lineRule="atLeast"/>
        <w:jc w:val="center"/>
        <w:rPr>
          <w:rFonts w:ascii="Arial" w:hAnsi="Arial" w:cs="Arial"/>
          <w:color w:val="000000" w:themeColor="text1"/>
        </w:rPr>
      </w:pPr>
      <w:r w:rsidRPr="0081375C">
        <w:rPr>
          <w:rFonts w:ascii="Arial" w:hAnsi="Arial" w:cs="Arial"/>
          <w:noProof/>
          <w:color w:val="000000" w:themeColor="text1"/>
        </w:rPr>
        <w:drawing>
          <wp:inline distT="0" distB="0" distL="0" distR="0" wp14:anchorId="35E6B319" wp14:editId="6E71A59D">
            <wp:extent cx="2019300" cy="206438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21"/>
                    <a:stretch>
                      <a:fillRect/>
                    </a:stretch>
                  </pic:blipFill>
                  <pic:spPr bwMode="auto">
                    <a:xfrm>
                      <a:off x="0" y="0"/>
                      <a:ext cx="2019300" cy="2064385"/>
                    </a:xfrm>
                    <a:prstGeom prst="rect">
                      <a:avLst/>
                    </a:prstGeom>
                    <a:noFill/>
                  </pic:spPr>
                </pic:pic>
              </a:graphicData>
            </a:graphic>
          </wp:inline>
        </w:drawing>
      </w:r>
    </w:p>
    <w:p w14:paraId="67F70E66" w14:textId="63B557D0" w:rsidR="00825D4D" w:rsidRPr="0081375C" w:rsidRDefault="00806784" w:rsidP="00732668">
      <w:pPr>
        <w:pStyle w:val="Descripcin"/>
        <w:jc w:val="center"/>
        <w:rPr>
          <w:rFonts w:ascii="Arial" w:hAnsi="Arial" w:cs="Arial"/>
          <w:b/>
          <w:bCs/>
          <w:i w:val="0"/>
          <w:iCs w:val="0"/>
          <w:color w:val="000000" w:themeColor="text1"/>
          <w:sz w:val="20"/>
          <w:szCs w:val="20"/>
        </w:rPr>
      </w:pPr>
      <w:bookmarkStart w:id="72" w:name="_Toc233018497"/>
      <w:r w:rsidRPr="0081375C">
        <w:rPr>
          <w:rFonts w:ascii="Arial" w:hAnsi="Arial" w:cs="Arial"/>
          <w:b/>
          <w:bCs/>
          <w:i w:val="0"/>
          <w:iCs w:val="0"/>
          <w:color w:val="000000" w:themeColor="text1"/>
          <w:sz w:val="20"/>
          <w:szCs w:val="20"/>
        </w:rPr>
        <w:t xml:space="preserve">Figura </w:t>
      </w:r>
      <w:r w:rsidRPr="0081375C">
        <w:rPr>
          <w:rFonts w:ascii="Arial" w:hAnsi="Arial" w:cs="Arial"/>
          <w:b/>
          <w:bCs/>
          <w:i w:val="0"/>
          <w:iCs w:val="0"/>
          <w:color w:val="000000" w:themeColor="text1"/>
          <w:sz w:val="20"/>
          <w:szCs w:val="20"/>
        </w:rPr>
        <w:fldChar w:fldCharType="begin"/>
      </w:r>
      <w:r w:rsidRPr="0081375C">
        <w:rPr>
          <w:rFonts w:ascii="Arial" w:hAnsi="Arial" w:cs="Arial"/>
          <w:b/>
          <w:bCs/>
          <w:i w:val="0"/>
          <w:iCs w:val="0"/>
          <w:color w:val="000000" w:themeColor="text1"/>
          <w:sz w:val="20"/>
          <w:szCs w:val="20"/>
        </w:rPr>
        <w:instrText xml:space="preserve"> SEQ Figura \* ARABIC </w:instrText>
      </w:r>
      <w:r w:rsidRPr="0081375C">
        <w:rPr>
          <w:rFonts w:ascii="Arial" w:hAnsi="Arial" w:cs="Arial"/>
          <w:b/>
          <w:bCs/>
          <w:i w:val="0"/>
          <w:iCs w:val="0"/>
          <w:color w:val="000000" w:themeColor="text1"/>
          <w:sz w:val="20"/>
          <w:szCs w:val="20"/>
        </w:rPr>
        <w:fldChar w:fldCharType="separate"/>
      </w:r>
      <w:r w:rsidR="008A5833" w:rsidRPr="0081375C">
        <w:rPr>
          <w:rFonts w:ascii="Arial" w:hAnsi="Arial" w:cs="Arial"/>
          <w:b/>
          <w:bCs/>
          <w:i w:val="0"/>
          <w:iCs w:val="0"/>
          <w:noProof/>
          <w:color w:val="000000" w:themeColor="text1"/>
          <w:sz w:val="20"/>
          <w:szCs w:val="20"/>
        </w:rPr>
        <w:t>6</w:t>
      </w:r>
      <w:r w:rsidRPr="0081375C">
        <w:rPr>
          <w:rFonts w:ascii="Arial" w:hAnsi="Arial" w:cs="Arial"/>
          <w:b/>
          <w:bCs/>
          <w:i w:val="0"/>
          <w:iCs w:val="0"/>
          <w:color w:val="000000" w:themeColor="text1"/>
          <w:sz w:val="20"/>
          <w:szCs w:val="20"/>
        </w:rPr>
        <w:fldChar w:fldCharType="end"/>
      </w:r>
      <w:r w:rsidRPr="0081375C">
        <w:rPr>
          <w:rFonts w:ascii="Arial" w:hAnsi="Arial" w:cs="Arial"/>
          <w:b/>
          <w:bCs/>
          <w:i w:val="0"/>
          <w:iCs w:val="0"/>
          <w:color w:val="000000" w:themeColor="text1"/>
          <w:sz w:val="20"/>
          <w:szCs w:val="20"/>
        </w:rPr>
        <w:t>. Diseño de nucleación usado por Holl et al. (2020).</w:t>
      </w:r>
      <w:bookmarkEnd w:id="72"/>
    </w:p>
    <w:p w14:paraId="55728C0F" w14:textId="77777777" w:rsidR="00732668" w:rsidRPr="0081375C" w:rsidRDefault="00732668" w:rsidP="003F6B53">
      <w:pPr>
        <w:spacing w:line="23" w:lineRule="atLeast"/>
        <w:jc w:val="both"/>
        <w:rPr>
          <w:rFonts w:ascii="Arial" w:hAnsi="Arial" w:cs="Arial"/>
          <w:color w:val="000000" w:themeColor="text1"/>
        </w:rPr>
      </w:pPr>
    </w:p>
    <w:p w14:paraId="0BF04423" w14:textId="331205BA"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Las áreas sembradas requerirán mantenimientos que incluyan, cuando el estudio de suelos lo indique, fertilización y el manejo de herbáceas alrededor de las plantas sembradas.</w:t>
      </w:r>
    </w:p>
    <w:p w14:paraId="4856D7E9" w14:textId="77777777" w:rsidR="00732668" w:rsidRPr="0081375C" w:rsidRDefault="00732668" w:rsidP="003F6B53">
      <w:pPr>
        <w:spacing w:line="23" w:lineRule="atLeast"/>
        <w:jc w:val="both"/>
        <w:rPr>
          <w:rFonts w:ascii="Arial" w:hAnsi="Arial" w:cs="Arial"/>
          <w:color w:val="000000" w:themeColor="text1"/>
        </w:rPr>
      </w:pPr>
    </w:p>
    <w:p w14:paraId="1B72A778"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En zonas con uso del suelo productivo u otro distinto al de protección, se fomentará la restauración ecológica donde las condiciones ambientales lo recomienden: retiros de quebradas, zonas de alta pendiente, áreas con erosión grave (por ejemplo, cárcavas) o zonas de afloramiento de agua. También se podrán establecer acciones de restauración en sistemas productivos, con el apoyo del profesional de buenas prácticas ambientales y soluciones basadas en la naturaleza, o de la Secretaría de Desarrollo Económico, para alinearlas con los objetivos de sostenibilidad de este componente.</w:t>
      </w:r>
    </w:p>
    <w:p w14:paraId="2F7F22D5" w14:textId="77777777" w:rsidR="00732668" w:rsidRPr="0081375C" w:rsidRDefault="00732668" w:rsidP="003F6B53">
      <w:pPr>
        <w:spacing w:line="23" w:lineRule="atLeast"/>
        <w:jc w:val="both"/>
        <w:rPr>
          <w:rFonts w:ascii="Arial" w:hAnsi="Arial" w:cs="Arial"/>
          <w:color w:val="000000" w:themeColor="text1"/>
        </w:rPr>
      </w:pPr>
    </w:p>
    <w:p w14:paraId="188F5547" w14:textId="3033E4D6"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El beneficiario asumirá cualquier inversión necesaria para implementar la restauración.</w:t>
      </w:r>
    </w:p>
    <w:p w14:paraId="51DEBFBB" w14:textId="77777777" w:rsidR="002D5C63" w:rsidRPr="0081375C" w:rsidRDefault="002D5C63" w:rsidP="003F6B53">
      <w:pPr>
        <w:spacing w:line="23" w:lineRule="atLeast"/>
        <w:jc w:val="both"/>
        <w:rPr>
          <w:rFonts w:ascii="Arial" w:hAnsi="Arial" w:cs="Arial"/>
          <w:color w:val="000000" w:themeColor="text1"/>
        </w:rPr>
      </w:pPr>
    </w:p>
    <w:p w14:paraId="4DC73E7D" w14:textId="722D945B"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 xml:space="preserve">Para reconocer el incentivo </w:t>
      </w:r>
      <w:r w:rsidR="53ABCE9C" w:rsidRPr="0081375C">
        <w:rPr>
          <w:rFonts w:ascii="Arial" w:hAnsi="Arial" w:cs="Arial"/>
          <w:color w:val="000000" w:themeColor="text1"/>
        </w:rPr>
        <w:t>PSA</w:t>
      </w:r>
      <w:r w:rsidRPr="0081375C">
        <w:rPr>
          <w:rFonts w:ascii="Arial" w:hAnsi="Arial" w:cs="Arial"/>
          <w:color w:val="000000" w:themeColor="text1"/>
        </w:rPr>
        <w:t xml:space="preserve"> de restauración en sistemas productivos, el personal técnico de la Secretaría de Medio Ambiente aplicará la Resolución No. 0174 de 2025, que provee una herramienta cuantitativa para calcular el valor del incentivo.</w:t>
      </w:r>
    </w:p>
    <w:p w14:paraId="205808FF" w14:textId="77777777" w:rsidR="00732668" w:rsidRPr="0081375C" w:rsidRDefault="00732668" w:rsidP="003F6B53">
      <w:pPr>
        <w:spacing w:line="23" w:lineRule="atLeast"/>
        <w:jc w:val="both"/>
        <w:rPr>
          <w:rFonts w:ascii="Arial" w:hAnsi="Arial" w:cs="Arial"/>
          <w:color w:val="000000" w:themeColor="text1"/>
        </w:rPr>
      </w:pPr>
    </w:p>
    <w:p w14:paraId="6FB51600" w14:textId="32082E09"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La siguiente tabla describe los criterios de asignación por tipo de cobertura</w:t>
      </w:r>
      <w:r w:rsidR="00A168F5" w:rsidRPr="0081375C">
        <w:rPr>
          <w:rFonts w:ascii="Arial" w:hAnsi="Arial" w:cs="Arial"/>
          <w:color w:val="000000" w:themeColor="text1"/>
        </w:rPr>
        <w:t xml:space="preserve"> descrito en más detalle en </w:t>
      </w:r>
      <w:r w:rsidR="00A168F5" w:rsidRPr="0081375C">
        <w:rPr>
          <w:rFonts w:ascii="Arial" w:hAnsi="Arial" w:cs="Arial"/>
          <w:b/>
          <w:bCs/>
          <w:i/>
          <w:iCs/>
          <w:color w:val="000000" w:themeColor="text1"/>
        </w:rPr>
        <w:t>DE-GEAM Análisis de Ingreso al Esquema de Pago Pago Servicios Ambientales –PSA- Según el Tipo de Cobertura</w:t>
      </w:r>
      <w:r w:rsidRPr="0081375C">
        <w:rPr>
          <w:rFonts w:ascii="Arial" w:hAnsi="Arial" w:cs="Arial"/>
          <w:color w:val="000000" w:themeColor="text1"/>
        </w:rPr>
        <w:t>.</w:t>
      </w:r>
    </w:p>
    <w:p w14:paraId="111A00FA" w14:textId="77777777" w:rsidR="00825D4D" w:rsidRPr="0081375C" w:rsidRDefault="00825D4D" w:rsidP="003F6B53">
      <w:pPr>
        <w:spacing w:line="23" w:lineRule="atLeast"/>
        <w:jc w:val="both"/>
        <w:rPr>
          <w:rFonts w:ascii="Arial" w:hAnsi="Arial" w:cs="Arial"/>
          <w:color w:val="000000" w:themeColor="text1"/>
        </w:rPr>
      </w:pPr>
    </w:p>
    <w:p w14:paraId="2DA43DC7" w14:textId="01BBBF5A" w:rsidR="00825D4D" w:rsidRPr="0081375C" w:rsidRDefault="00806784" w:rsidP="00732668">
      <w:pPr>
        <w:spacing w:line="23" w:lineRule="atLeast"/>
        <w:jc w:val="both"/>
        <w:rPr>
          <w:rFonts w:ascii="Arial" w:hAnsi="Arial" w:cs="Arial"/>
          <w:b/>
          <w:bCs/>
          <w:color w:val="000000" w:themeColor="text1"/>
          <w:sz w:val="20"/>
          <w:szCs w:val="20"/>
        </w:rPr>
      </w:pPr>
      <w:bookmarkStart w:id="73" w:name="_Toc233040673"/>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25</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Criterios de asignación de la acción según el tipo de cobertura.</w:t>
      </w:r>
      <w:bookmarkEnd w:id="73"/>
    </w:p>
    <w:tbl>
      <w:tblPr>
        <w:tblStyle w:val="Tablaconcuadrcula"/>
        <w:tblW w:w="8636" w:type="dxa"/>
        <w:tblLayout w:type="fixed"/>
        <w:tblLook w:val="04A0" w:firstRow="1" w:lastRow="0" w:firstColumn="1" w:lastColumn="0" w:noHBand="0" w:noVBand="1"/>
      </w:tblPr>
      <w:tblGrid>
        <w:gridCol w:w="1909"/>
        <w:gridCol w:w="6727"/>
      </w:tblGrid>
      <w:tr w:rsidR="00825D4D" w:rsidRPr="0081375C" w14:paraId="4192E3CE" w14:textId="77777777" w:rsidTr="00DB0F69">
        <w:trPr>
          <w:tblHeader/>
        </w:trPr>
        <w:tc>
          <w:tcPr>
            <w:tcW w:w="1909" w:type="dxa"/>
          </w:tcPr>
          <w:p w14:paraId="10E2D5A9" w14:textId="77777777" w:rsidR="00825D4D" w:rsidRPr="0081375C" w:rsidRDefault="00806784" w:rsidP="003019A3">
            <w:pPr>
              <w:spacing w:line="23" w:lineRule="atLeast"/>
              <w:jc w:val="center"/>
              <w:rPr>
                <w:rFonts w:ascii="Arial" w:hAnsi="Arial" w:cs="Arial"/>
                <w:b/>
                <w:bCs/>
                <w:color w:val="000000" w:themeColor="text1"/>
              </w:rPr>
            </w:pPr>
            <w:r w:rsidRPr="0081375C">
              <w:rPr>
                <w:rFonts w:ascii="Arial" w:eastAsia="Cambria" w:hAnsi="Arial" w:cs="Arial"/>
                <w:b/>
                <w:bCs/>
                <w:color w:val="000000" w:themeColor="text1"/>
              </w:rPr>
              <w:t>Acción</w:t>
            </w:r>
          </w:p>
        </w:tc>
        <w:tc>
          <w:tcPr>
            <w:tcW w:w="6727" w:type="dxa"/>
          </w:tcPr>
          <w:p w14:paraId="692B6A1E" w14:textId="77777777" w:rsidR="00825D4D" w:rsidRPr="0081375C" w:rsidRDefault="00806784" w:rsidP="003019A3">
            <w:pPr>
              <w:spacing w:line="23" w:lineRule="atLeast"/>
              <w:jc w:val="center"/>
              <w:rPr>
                <w:rFonts w:ascii="Arial" w:hAnsi="Arial" w:cs="Arial"/>
                <w:b/>
                <w:bCs/>
                <w:color w:val="000000" w:themeColor="text1"/>
              </w:rPr>
            </w:pPr>
            <w:r w:rsidRPr="0081375C">
              <w:rPr>
                <w:rFonts w:ascii="Arial" w:eastAsia="Cambria" w:hAnsi="Arial" w:cs="Arial"/>
                <w:b/>
                <w:bCs/>
                <w:color w:val="000000" w:themeColor="text1"/>
              </w:rPr>
              <w:t>Coberturas</w:t>
            </w:r>
          </w:p>
        </w:tc>
      </w:tr>
      <w:tr w:rsidR="00825D4D" w:rsidRPr="0081375C" w14:paraId="0DC811D4" w14:textId="77777777" w:rsidTr="06CED478">
        <w:tc>
          <w:tcPr>
            <w:tcW w:w="1909" w:type="dxa"/>
          </w:tcPr>
          <w:p w14:paraId="3B3A26AF" w14:textId="77777777" w:rsidR="00825D4D" w:rsidRPr="0081375C" w:rsidRDefault="00806784" w:rsidP="003F6B53">
            <w:pPr>
              <w:spacing w:line="23" w:lineRule="atLeast"/>
              <w:jc w:val="both"/>
              <w:rPr>
                <w:rFonts w:ascii="Arial" w:hAnsi="Arial" w:cs="Arial"/>
                <w:color w:val="000000" w:themeColor="text1"/>
              </w:rPr>
            </w:pPr>
            <w:r w:rsidRPr="0081375C">
              <w:rPr>
                <w:rFonts w:ascii="Arial" w:eastAsia="Cambria" w:hAnsi="Arial" w:cs="Arial"/>
                <w:b/>
                <w:bCs/>
                <w:color w:val="000000" w:themeColor="text1"/>
              </w:rPr>
              <w:t>Preservación</w:t>
            </w:r>
          </w:p>
        </w:tc>
        <w:tc>
          <w:tcPr>
            <w:tcW w:w="6727" w:type="dxa"/>
          </w:tcPr>
          <w:p w14:paraId="40EAE10A" w14:textId="77777777" w:rsidR="00825D4D" w:rsidRPr="0081375C" w:rsidRDefault="00806784" w:rsidP="003F6B53">
            <w:pPr>
              <w:spacing w:line="23" w:lineRule="atLeast"/>
              <w:jc w:val="both"/>
              <w:rPr>
                <w:rFonts w:ascii="Arial" w:hAnsi="Arial" w:cs="Arial"/>
                <w:color w:val="000000" w:themeColor="text1"/>
              </w:rPr>
            </w:pPr>
            <w:r w:rsidRPr="0081375C">
              <w:rPr>
                <w:rFonts w:ascii="Arial" w:eastAsia="Cambria" w:hAnsi="Arial" w:cs="Arial"/>
                <w:color w:val="000000" w:themeColor="text1"/>
              </w:rPr>
              <w:t>Bosque maduro; bosque secundario; vegetación secundaria alta y baja (incluye arbustales con presencia establecida de especies arbóreas en crecimiento); coberturas asociadas a cuerpos de agua (lagos, zonas pantanosas, humedales y ecosistemas singulares); pastos enmalezados en estado avanzado: gramínea muy diezmada, diversidad de plántulas y pequeños individuos arbóreos o arbustivos en crecimiento, suelo cubierto en gran medida.</w:t>
            </w:r>
          </w:p>
        </w:tc>
      </w:tr>
      <w:tr w:rsidR="00825D4D" w:rsidRPr="0081375C" w14:paraId="51E3C764" w14:textId="77777777" w:rsidTr="06CED478">
        <w:tc>
          <w:tcPr>
            <w:tcW w:w="1909" w:type="dxa"/>
          </w:tcPr>
          <w:p w14:paraId="4F60B9A5" w14:textId="77777777" w:rsidR="00825D4D" w:rsidRPr="0081375C" w:rsidRDefault="00806784" w:rsidP="003F6B53">
            <w:pPr>
              <w:spacing w:line="23" w:lineRule="atLeast"/>
              <w:jc w:val="both"/>
              <w:rPr>
                <w:rFonts w:ascii="Arial" w:hAnsi="Arial" w:cs="Arial"/>
                <w:color w:val="000000" w:themeColor="text1"/>
              </w:rPr>
            </w:pPr>
            <w:r w:rsidRPr="0081375C">
              <w:rPr>
                <w:rFonts w:ascii="Arial" w:eastAsia="Cambria" w:hAnsi="Arial" w:cs="Arial"/>
                <w:b/>
                <w:bCs/>
                <w:color w:val="000000" w:themeColor="text1"/>
              </w:rPr>
              <w:t>Restauración</w:t>
            </w:r>
          </w:p>
        </w:tc>
        <w:tc>
          <w:tcPr>
            <w:tcW w:w="6727" w:type="dxa"/>
          </w:tcPr>
          <w:p w14:paraId="4CBEE1A8" w14:textId="77777777" w:rsidR="00825D4D" w:rsidRPr="0081375C" w:rsidRDefault="00806784" w:rsidP="003F6B53">
            <w:pPr>
              <w:spacing w:line="23" w:lineRule="atLeast"/>
              <w:jc w:val="both"/>
              <w:rPr>
                <w:rFonts w:ascii="Arial" w:hAnsi="Arial" w:cs="Arial"/>
                <w:color w:val="000000" w:themeColor="text1"/>
              </w:rPr>
            </w:pPr>
            <w:r w:rsidRPr="0081375C">
              <w:rPr>
                <w:rFonts w:ascii="Arial" w:eastAsia="Cambria" w:hAnsi="Arial" w:cs="Arial"/>
                <w:color w:val="000000" w:themeColor="text1"/>
              </w:rPr>
              <w:t>Pasto limpio; pasto arbolado; pastos enmalezados en estado inicial: vegetación herbácea dominante, plántulas arbóreas o arbustivas muy escasas, o presencia significativa de helecho marranero (</w:t>
            </w:r>
            <w:proofErr w:type="spellStart"/>
            <w:r w:rsidRPr="0081375C">
              <w:rPr>
                <w:rFonts w:ascii="Arial" w:eastAsia="Cambria" w:hAnsi="Arial" w:cs="Arial"/>
                <w:i/>
                <w:iCs/>
                <w:color w:val="000000" w:themeColor="text1"/>
              </w:rPr>
              <w:t>Pteridium</w:t>
            </w:r>
            <w:proofErr w:type="spellEnd"/>
            <w:r w:rsidRPr="0081375C">
              <w:rPr>
                <w:rFonts w:ascii="Arial" w:eastAsia="Cambria" w:hAnsi="Arial" w:cs="Arial"/>
                <w:i/>
                <w:iCs/>
                <w:color w:val="000000" w:themeColor="text1"/>
              </w:rPr>
              <w:t xml:space="preserve"> </w:t>
            </w:r>
            <w:proofErr w:type="spellStart"/>
            <w:r w:rsidRPr="0081375C">
              <w:rPr>
                <w:rFonts w:ascii="Arial" w:eastAsia="Cambria" w:hAnsi="Arial" w:cs="Arial"/>
                <w:i/>
                <w:iCs/>
                <w:color w:val="000000" w:themeColor="text1"/>
              </w:rPr>
              <w:t>aquilinum</w:t>
            </w:r>
            <w:proofErr w:type="spellEnd"/>
            <w:r w:rsidRPr="0081375C">
              <w:rPr>
                <w:rFonts w:ascii="Arial" w:eastAsia="Cambria" w:hAnsi="Arial" w:cs="Arial"/>
                <w:color w:val="000000" w:themeColor="text1"/>
              </w:rPr>
              <w:t>); tierras desnudas y degradadas.</w:t>
            </w:r>
          </w:p>
        </w:tc>
      </w:tr>
      <w:tr w:rsidR="00825D4D" w:rsidRPr="0081375C" w14:paraId="6076007C" w14:textId="77777777" w:rsidTr="06CED478">
        <w:tc>
          <w:tcPr>
            <w:tcW w:w="1909" w:type="dxa"/>
          </w:tcPr>
          <w:p w14:paraId="2A652D9B" w14:textId="77777777" w:rsidR="00825D4D" w:rsidRPr="0081375C" w:rsidRDefault="00806784" w:rsidP="003F6B53">
            <w:pPr>
              <w:spacing w:line="23" w:lineRule="atLeast"/>
              <w:jc w:val="both"/>
              <w:rPr>
                <w:rFonts w:ascii="Arial" w:hAnsi="Arial" w:cs="Arial"/>
                <w:color w:val="000000" w:themeColor="text1"/>
              </w:rPr>
            </w:pPr>
            <w:r w:rsidRPr="0081375C">
              <w:rPr>
                <w:rFonts w:ascii="Arial" w:eastAsia="Cambria" w:hAnsi="Arial" w:cs="Arial"/>
                <w:b/>
                <w:bCs/>
                <w:color w:val="000000" w:themeColor="text1"/>
              </w:rPr>
              <w:t>Análisis individual obligatorio</w:t>
            </w:r>
          </w:p>
        </w:tc>
        <w:tc>
          <w:tcPr>
            <w:tcW w:w="6727" w:type="dxa"/>
          </w:tcPr>
          <w:p w14:paraId="06936AD4" w14:textId="77777777" w:rsidR="00825D4D" w:rsidRPr="0081375C" w:rsidRDefault="00806784" w:rsidP="003F6B53">
            <w:pPr>
              <w:spacing w:line="23" w:lineRule="atLeast"/>
              <w:jc w:val="both"/>
              <w:rPr>
                <w:rFonts w:ascii="Arial" w:hAnsi="Arial" w:cs="Arial"/>
                <w:color w:val="000000" w:themeColor="text1"/>
              </w:rPr>
            </w:pPr>
            <w:r w:rsidRPr="0081375C">
              <w:rPr>
                <w:rFonts w:ascii="Arial" w:eastAsia="Cambria" w:hAnsi="Arial" w:cs="Arial"/>
                <w:color w:val="000000" w:themeColor="text1"/>
              </w:rPr>
              <w:t>Pastos enmalezados en estado intermedio no clasificable directamente en los criterios anteriores; ecosistemas singulares distintos a humedales.</w:t>
            </w:r>
          </w:p>
        </w:tc>
      </w:tr>
    </w:tbl>
    <w:p w14:paraId="42100E0A" w14:textId="77777777" w:rsidR="00732668" w:rsidRPr="0081375C" w:rsidRDefault="00732668" w:rsidP="00732668">
      <w:pPr>
        <w:rPr>
          <w:rFonts w:ascii="Arial" w:hAnsi="Arial" w:cs="Arial"/>
        </w:rPr>
      </w:pPr>
    </w:p>
    <w:p w14:paraId="653A5832" w14:textId="77777777" w:rsidR="005F4A7A" w:rsidRPr="0081375C" w:rsidRDefault="005F4A7A" w:rsidP="00732668">
      <w:pPr>
        <w:rPr>
          <w:rFonts w:ascii="Arial" w:hAnsi="Arial" w:cs="Arial"/>
        </w:rPr>
      </w:pPr>
    </w:p>
    <w:p w14:paraId="3DDF3305" w14:textId="77777777" w:rsidR="005F4A7A" w:rsidRPr="0081375C" w:rsidRDefault="005F4A7A" w:rsidP="00732668">
      <w:pPr>
        <w:rPr>
          <w:rFonts w:ascii="Arial" w:hAnsi="Arial" w:cs="Arial"/>
        </w:rPr>
      </w:pPr>
    </w:p>
    <w:p w14:paraId="49E0A048" w14:textId="5236E37D"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74" w:name="_Toc233304183"/>
      <w:r w:rsidRPr="0081375C">
        <w:rPr>
          <w:rFonts w:eastAsia="Aptos" w:cs="Arial"/>
          <w:bCs/>
          <w:color w:val="000000" w:themeColor="text1"/>
        </w:rPr>
        <w:lastRenderedPageBreak/>
        <w:t xml:space="preserve">Selección </w:t>
      </w:r>
      <w:r w:rsidR="003019A3" w:rsidRPr="0081375C">
        <w:rPr>
          <w:rFonts w:eastAsia="Aptos" w:cs="Arial"/>
          <w:bCs/>
          <w:color w:val="000000" w:themeColor="text1"/>
        </w:rPr>
        <w:t>F</w:t>
      </w:r>
      <w:r w:rsidRPr="0081375C">
        <w:rPr>
          <w:rFonts w:eastAsia="Aptos" w:cs="Arial"/>
          <w:bCs/>
          <w:color w:val="000000" w:themeColor="text1"/>
        </w:rPr>
        <w:t xml:space="preserve">inal de </w:t>
      </w:r>
      <w:r w:rsidR="003019A3" w:rsidRPr="0081375C">
        <w:rPr>
          <w:rFonts w:eastAsia="Aptos" w:cs="Arial"/>
          <w:bCs/>
          <w:color w:val="000000" w:themeColor="text1"/>
        </w:rPr>
        <w:t>P</w:t>
      </w:r>
      <w:r w:rsidRPr="0081375C">
        <w:rPr>
          <w:rFonts w:eastAsia="Aptos" w:cs="Arial"/>
          <w:bCs/>
          <w:color w:val="000000" w:themeColor="text1"/>
        </w:rPr>
        <w:t>ostulaciones</w:t>
      </w:r>
      <w:bookmarkEnd w:id="74"/>
    </w:p>
    <w:p w14:paraId="3CBB5846" w14:textId="77777777" w:rsidR="00732668" w:rsidRPr="0081375C" w:rsidRDefault="00732668" w:rsidP="00732668">
      <w:pPr>
        <w:rPr>
          <w:rFonts w:ascii="Arial" w:hAnsi="Arial" w:cs="Arial"/>
        </w:rPr>
      </w:pPr>
    </w:p>
    <w:p w14:paraId="74D0EAE7"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 xml:space="preserve">La selección final determina cuáles predios ingresan al esquema en el ciclo de convocatoria. El comité técnico revisa el conjunto de informes de evaluación y selecciona predios en orden descendente de priorización hasta que el presupuesto disponible se agote o se hayan procesado todos los predios con concepto jurídico y técnico favorable. </w:t>
      </w:r>
    </w:p>
    <w:p w14:paraId="3D9E6174" w14:textId="4EBB88D8" w:rsidR="729FED67" w:rsidRPr="0081375C" w:rsidRDefault="729FED67" w:rsidP="729FED67">
      <w:pPr>
        <w:spacing w:line="23" w:lineRule="atLeast"/>
        <w:jc w:val="both"/>
        <w:rPr>
          <w:rFonts w:ascii="Arial" w:eastAsia="Arial" w:hAnsi="Arial" w:cs="Arial"/>
          <w:color w:val="000000" w:themeColor="text1"/>
        </w:rPr>
      </w:pPr>
    </w:p>
    <w:p w14:paraId="0DD0A598" w14:textId="43E02A65"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El orden de revisión será: categoría de priorización, puntaje total, y desempates D1 y D2 donde corresponda. Los empates que no pudieron resolverse con D1 y D2 y que fueron transferidos formalmente se dirimen en esta instancia aplicando el criterio de cierre institucional que la Secretaría de Medio Ambiente debe definir y aprobar antes del primer ciclo de convocatoria. Sin ese criterio predefinido, cualquier desempate que llegue a esta etapa no tiene regla de resolución.</w:t>
      </w:r>
    </w:p>
    <w:p w14:paraId="2A690612" w14:textId="3DAAB838" w:rsidR="729FED67" w:rsidRPr="0081375C" w:rsidRDefault="729FED67" w:rsidP="729FED67">
      <w:pPr>
        <w:spacing w:line="23" w:lineRule="atLeast"/>
        <w:jc w:val="both"/>
        <w:rPr>
          <w:rFonts w:ascii="Arial" w:eastAsia="Arial" w:hAnsi="Arial" w:cs="Arial"/>
          <w:color w:val="000000" w:themeColor="text1"/>
        </w:rPr>
      </w:pPr>
    </w:p>
    <w:p w14:paraId="6A3FF75A" w14:textId="1FD5F9ED" w:rsidR="00732668"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Los predios con concepto técnico condicionado a la instalación de cercos pueden incluirse en la lista de seleccionados, pero la condición queda documentada en el acta </w:t>
      </w:r>
      <w:r w:rsidR="7822A50C" w:rsidRPr="0081375C">
        <w:rPr>
          <w:rFonts w:ascii="Arial" w:eastAsia="Arial" w:hAnsi="Arial" w:cs="Arial"/>
          <w:color w:val="000000" w:themeColor="text1"/>
        </w:rPr>
        <w:t>del comité</w:t>
      </w:r>
      <w:r w:rsidR="53ABCE9C" w:rsidRPr="0081375C">
        <w:rPr>
          <w:rFonts w:ascii="Arial" w:eastAsia="Arial" w:hAnsi="Arial" w:cs="Arial"/>
          <w:color w:val="000000" w:themeColor="text1"/>
        </w:rPr>
        <w:t xml:space="preserve"> </w:t>
      </w:r>
      <w:r w:rsidRPr="0081375C">
        <w:rPr>
          <w:rFonts w:ascii="Arial" w:eastAsia="Arial" w:hAnsi="Arial" w:cs="Arial"/>
          <w:color w:val="000000" w:themeColor="text1"/>
        </w:rPr>
        <w:t xml:space="preserve">y una vez se cuente con la verificación de la realización de la actividad, que se socializa y aprueba en el comité, el predio y el postulante puede trasladarse a la formalización. </w:t>
      </w:r>
    </w:p>
    <w:p w14:paraId="3750EAF2" w14:textId="77777777" w:rsidR="00825D4D" w:rsidRPr="0081375C" w:rsidRDefault="00825D4D" w:rsidP="003F6B53">
      <w:pPr>
        <w:spacing w:line="23" w:lineRule="atLeast"/>
        <w:jc w:val="both"/>
        <w:rPr>
          <w:rFonts w:ascii="Arial" w:eastAsia="Aptos" w:hAnsi="Arial" w:cs="Arial"/>
          <w:color w:val="000000" w:themeColor="text1"/>
        </w:rPr>
      </w:pPr>
    </w:p>
    <w:p w14:paraId="365209E0" w14:textId="66F22AD9"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comité deberá definir durante el transcurso de la evaluación jurídica y técnica el alcance en términos de presupuesto para la vinculación de interesados en el PSA, </w:t>
      </w:r>
      <w:r w:rsidR="2576C539" w:rsidRPr="0081375C">
        <w:rPr>
          <w:rFonts w:ascii="Arial" w:eastAsia="Arial" w:hAnsi="Arial" w:cs="Arial"/>
          <w:color w:val="000000" w:themeColor="text1"/>
        </w:rPr>
        <w:t>l</w:t>
      </w:r>
      <w:r w:rsidR="53ABCE9C" w:rsidRPr="0081375C">
        <w:rPr>
          <w:rFonts w:ascii="Arial" w:eastAsia="Arial" w:hAnsi="Arial" w:cs="Arial"/>
          <w:color w:val="000000" w:themeColor="text1"/>
        </w:rPr>
        <w:t>os</w:t>
      </w:r>
      <w:r w:rsidRPr="0081375C">
        <w:rPr>
          <w:rFonts w:ascii="Arial" w:eastAsia="Arial" w:hAnsi="Arial" w:cs="Arial"/>
          <w:color w:val="000000" w:themeColor="text1"/>
        </w:rPr>
        <w:t xml:space="preserve"> predios excluidos por agotamiento del </w:t>
      </w:r>
      <w:proofErr w:type="gramStart"/>
      <w:r w:rsidRPr="0081375C">
        <w:rPr>
          <w:rFonts w:ascii="Arial" w:eastAsia="Arial" w:hAnsi="Arial" w:cs="Arial"/>
          <w:color w:val="000000" w:themeColor="text1"/>
        </w:rPr>
        <w:t>presupuesto,</w:t>
      </w:r>
      <w:proofErr w:type="gramEnd"/>
      <w:r w:rsidRPr="0081375C">
        <w:rPr>
          <w:rFonts w:ascii="Arial" w:eastAsia="Arial" w:hAnsi="Arial" w:cs="Arial"/>
          <w:color w:val="000000" w:themeColor="text1"/>
        </w:rPr>
        <w:t xml:space="preserve"> deberán ser documentados en una lista consolidada y desde la administración del PSA se deberá comunicar la situación, invitando a que se presenten en una próxima convocatoria.</w:t>
      </w:r>
    </w:p>
    <w:p w14:paraId="070A7FB4" w14:textId="77777777" w:rsidR="00732668" w:rsidRPr="0081375C" w:rsidRDefault="00732668" w:rsidP="003F6B53">
      <w:pPr>
        <w:spacing w:line="23" w:lineRule="atLeast"/>
        <w:jc w:val="both"/>
        <w:rPr>
          <w:rFonts w:ascii="Arial" w:eastAsia="Aptos" w:hAnsi="Arial" w:cs="Arial"/>
          <w:color w:val="000000" w:themeColor="text1"/>
        </w:rPr>
      </w:pPr>
    </w:p>
    <w:p w14:paraId="4B6F3056" w14:textId="5A7C2373"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proceso ordinario admite un trámite extemporáneo para predios con documentación o evaluación pendiente al cierre de la convocatoria. La tabla siguiente describe la cadena temporal</w:t>
      </w:r>
      <w:r w:rsidR="7D75E9A8" w:rsidRPr="0081375C">
        <w:rPr>
          <w:rFonts w:ascii="Arial" w:eastAsia="Arial" w:hAnsi="Arial" w:cs="Arial"/>
          <w:color w:val="000000" w:themeColor="text1"/>
        </w:rPr>
        <w:t xml:space="preserve"> de</w:t>
      </w:r>
      <w:r w:rsidR="256934B2" w:rsidRPr="0081375C">
        <w:rPr>
          <w:rFonts w:ascii="Arial" w:eastAsia="Arial" w:hAnsi="Arial" w:cs="Arial"/>
          <w:color w:val="000000" w:themeColor="text1"/>
        </w:rPr>
        <w:t xml:space="preserve"> </w:t>
      </w:r>
      <w:r w:rsidR="7D75E9A8" w:rsidRPr="0081375C">
        <w:rPr>
          <w:rFonts w:ascii="Arial" w:eastAsia="Arial" w:hAnsi="Arial" w:cs="Arial"/>
          <w:color w:val="000000" w:themeColor="text1"/>
        </w:rPr>
        <w:t>la evaluación</w:t>
      </w:r>
      <w:r w:rsidR="7C4BE263" w:rsidRPr="0081375C">
        <w:rPr>
          <w:rFonts w:ascii="Arial" w:eastAsia="Arial" w:hAnsi="Arial" w:cs="Arial"/>
          <w:color w:val="000000" w:themeColor="text1"/>
        </w:rPr>
        <w:t xml:space="preserve"> extemporánea</w:t>
      </w:r>
      <w:r w:rsidR="53ABCE9C" w:rsidRPr="0081375C">
        <w:rPr>
          <w:rFonts w:ascii="Arial" w:eastAsia="Arial" w:hAnsi="Arial" w:cs="Arial"/>
          <w:color w:val="000000" w:themeColor="text1"/>
        </w:rPr>
        <w:t>.</w:t>
      </w:r>
    </w:p>
    <w:p w14:paraId="6290BB4B" w14:textId="591F0F7F" w:rsidR="00F7757F" w:rsidRPr="0081375C" w:rsidRDefault="00F7757F" w:rsidP="005F4A7A">
      <w:pPr>
        <w:rPr>
          <w:rFonts w:ascii="Arial" w:eastAsia="Aptos" w:hAnsi="Arial" w:cs="Arial"/>
          <w:color w:val="000000" w:themeColor="text1"/>
        </w:rPr>
      </w:pPr>
      <w:r w:rsidRPr="0081375C">
        <w:rPr>
          <w:rFonts w:ascii="Arial" w:eastAsia="Aptos" w:hAnsi="Arial" w:cs="Arial"/>
          <w:color w:val="000000" w:themeColor="text1"/>
        </w:rPr>
        <w:br w:type="page"/>
      </w:r>
    </w:p>
    <w:p w14:paraId="1C8A7743" w14:textId="77777777" w:rsidR="00F7757F" w:rsidRPr="0081375C" w:rsidRDefault="00F7757F" w:rsidP="003F6B53">
      <w:pPr>
        <w:spacing w:line="23" w:lineRule="atLeast"/>
        <w:jc w:val="both"/>
        <w:rPr>
          <w:rFonts w:ascii="Arial" w:eastAsia="Aptos" w:hAnsi="Arial" w:cs="Arial"/>
          <w:color w:val="000000" w:themeColor="text1"/>
        </w:rPr>
      </w:pPr>
    </w:p>
    <w:p w14:paraId="1B3EC4FF" w14:textId="5812C256" w:rsidR="00825D4D" w:rsidRPr="0081375C" w:rsidRDefault="00806784" w:rsidP="003F6B53">
      <w:pPr>
        <w:spacing w:line="23" w:lineRule="atLeast"/>
        <w:jc w:val="both"/>
        <w:rPr>
          <w:rFonts w:ascii="Arial" w:eastAsia="Aptos" w:hAnsi="Arial" w:cs="Arial"/>
          <w:color w:val="000000" w:themeColor="text1"/>
        </w:rPr>
      </w:pPr>
      <w:bookmarkStart w:id="75" w:name="_Toc233040674"/>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26</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Cronograma de evaluación</w:t>
      </w:r>
      <w:bookmarkEnd w:id="75"/>
      <w:r w:rsidRPr="0081375C">
        <w:rPr>
          <w:rFonts w:ascii="Arial" w:hAnsi="Arial" w:cs="Arial"/>
          <w:b/>
          <w:bCs/>
          <w:color w:val="000000" w:themeColor="text1"/>
          <w:sz w:val="20"/>
          <w:szCs w:val="20"/>
        </w:rPr>
        <w:t xml:space="preserve"> </w:t>
      </w:r>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2899"/>
        <w:gridCol w:w="2837"/>
        <w:gridCol w:w="2900"/>
      </w:tblGrid>
      <w:tr w:rsidR="00825D4D" w:rsidRPr="0081375C" w14:paraId="36C94E68" w14:textId="77777777" w:rsidTr="00FD119C">
        <w:trPr>
          <w:trHeight w:val="20"/>
          <w:tblHeader/>
        </w:trPr>
        <w:tc>
          <w:tcPr>
            <w:tcW w:w="28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819C4" w14:textId="77777777" w:rsidR="00825D4D" w:rsidRPr="0081375C" w:rsidRDefault="00806784" w:rsidP="00FD119C">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Hito</w:t>
            </w: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A157B6" w14:textId="77777777" w:rsidR="00825D4D" w:rsidRPr="0081375C" w:rsidRDefault="00806784" w:rsidP="00FD119C">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Plazo</w:t>
            </w:r>
          </w:p>
        </w:tc>
        <w:tc>
          <w:tcPr>
            <w:tcW w:w="2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AE9CFD" w14:textId="77777777" w:rsidR="00825D4D" w:rsidRPr="0081375C" w:rsidRDefault="00806784" w:rsidP="00FD119C">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Activación</w:t>
            </w:r>
          </w:p>
        </w:tc>
      </w:tr>
      <w:tr w:rsidR="00825D4D" w:rsidRPr="0081375C" w14:paraId="2A8DB752" w14:textId="77777777" w:rsidTr="06CED478">
        <w:trPr>
          <w:trHeight w:val="20"/>
        </w:trPr>
        <w:tc>
          <w:tcPr>
            <w:tcW w:w="28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D1CF79"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Comité técnico ordinario</w:t>
            </w: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13578"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Máx. 10 días hábiles tras cierre de visitas de campo</w:t>
            </w:r>
          </w:p>
        </w:tc>
        <w:tc>
          <w:tcPr>
            <w:tcW w:w="2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CEE45" w14:textId="77777777" w:rsidR="00825D4D" w:rsidRPr="0081375C" w:rsidRDefault="00806784" w:rsidP="003F6B53">
            <w:pPr>
              <w:spacing w:line="23" w:lineRule="atLeast"/>
              <w:mirrorIndents/>
              <w:jc w:val="both"/>
              <w:rPr>
                <w:rFonts w:ascii="Arial" w:eastAsia="Arial" w:hAnsi="Arial" w:cs="Arial"/>
                <w:color w:val="000000" w:themeColor="text1"/>
                <w:sz w:val="20"/>
                <w:szCs w:val="20"/>
              </w:rPr>
            </w:pPr>
            <w:r w:rsidRPr="0081375C">
              <w:rPr>
                <w:rFonts w:ascii="Arial" w:eastAsia="Arial" w:hAnsi="Arial" w:cs="Arial"/>
                <w:color w:val="000000" w:themeColor="text1"/>
                <w:sz w:val="20"/>
                <w:szCs w:val="20"/>
              </w:rPr>
              <w:t>Cierre de la evaluación técnica</w:t>
            </w:r>
          </w:p>
        </w:tc>
      </w:tr>
      <w:tr w:rsidR="00825D4D" w:rsidRPr="0081375C" w14:paraId="0D3D562B" w14:textId="77777777" w:rsidTr="06CED478">
        <w:trPr>
          <w:trHeight w:val="20"/>
        </w:trPr>
        <w:tc>
          <w:tcPr>
            <w:tcW w:w="28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BE7EA3"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Plazo de subsanación</w:t>
            </w: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0CEF62"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10 días hábiles</w:t>
            </w:r>
          </w:p>
        </w:tc>
        <w:tc>
          <w:tcPr>
            <w:tcW w:w="2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856F8"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Día siguiente a la reunión del comité ordinario</w:t>
            </w:r>
          </w:p>
        </w:tc>
      </w:tr>
      <w:tr w:rsidR="00825D4D" w:rsidRPr="0081375C" w14:paraId="3452BB49" w14:textId="77777777" w:rsidTr="06CED478">
        <w:trPr>
          <w:trHeight w:val="20"/>
        </w:trPr>
        <w:tc>
          <w:tcPr>
            <w:tcW w:w="28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24EE1A"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Segundo comité técnico</w:t>
            </w: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CF556F"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Dentro de 5 días hábiles</w:t>
            </w:r>
          </w:p>
        </w:tc>
        <w:tc>
          <w:tcPr>
            <w:tcW w:w="2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D2BB6" w14:textId="77777777" w:rsidR="00825D4D" w:rsidRPr="0081375C" w:rsidRDefault="00806784" w:rsidP="003F6B53">
            <w:pPr>
              <w:spacing w:line="23" w:lineRule="atLeast"/>
              <w:mirrorIndents/>
              <w:jc w:val="both"/>
              <w:rPr>
                <w:rFonts w:ascii="Arial" w:hAnsi="Arial" w:cs="Arial"/>
                <w:color w:val="000000" w:themeColor="text1"/>
                <w:sz w:val="20"/>
                <w:szCs w:val="20"/>
              </w:rPr>
            </w:pPr>
            <w:r w:rsidRPr="0081375C">
              <w:rPr>
                <w:rFonts w:ascii="Arial" w:eastAsia="Arial" w:hAnsi="Arial" w:cs="Arial"/>
                <w:color w:val="000000" w:themeColor="text1"/>
                <w:sz w:val="20"/>
                <w:szCs w:val="20"/>
              </w:rPr>
              <w:t>Cierre de las evaluaciones extemporáneas</w:t>
            </w:r>
          </w:p>
        </w:tc>
      </w:tr>
    </w:tbl>
    <w:p w14:paraId="6B3798A2" w14:textId="77777777" w:rsidR="00732668" w:rsidRPr="0081375C" w:rsidRDefault="00732668" w:rsidP="00732668">
      <w:pPr>
        <w:rPr>
          <w:rFonts w:ascii="Arial" w:hAnsi="Arial" w:cs="Arial"/>
        </w:rPr>
      </w:pPr>
      <w:bookmarkStart w:id="76" w:name="_Toc232154415"/>
    </w:p>
    <w:p w14:paraId="28181799" w14:textId="27CFD553" w:rsidR="00825D4D" w:rsidRPr="0081375C" w:rsidRDefault="00806784" w:rsidP="0070084E">
      <w:pPr>
        <w:pStyle w:val="Ttulo4"/>
        <w:numPr>
          <w:ilvl w:val="3"/>
          <w:numId w:val="27"/>
        </w:numPr>
        <w:spacing w:before="0" w:after="0" w:line="23" w:lineRule="atLeast"/>
        <w:rPr>
          <w:rFonts w:cs="Arial"/>
          <w:color w:val="000000" w:themeColor="text1"/>
        </w:rPr>
      </w:pPr>
      <w:bookmarkStart w:id="77" w:name="_Toc233304184"/>
      <w:r w:rsidRPr="0081375C">
        <w:rPr>
          <w:rFonts w:eastAsia="Aptos" w:cs="Arial"/>
          <w:bCs/>
          <w:color w:val="000000" w:themeColor="text1"/>
        </w:rPr>
        <w:t>Comité Técnico de Evaluación y Seguimiento</w:t>
      </w:r>
      <w:bookmarkEnd w:id="77"/>
    </w:p>
    <w:p w14:paraId="1DE5FD2B" w14:textId="77777777" w:rsidR="00732668" w:rsidRPr="0081375C" w:rsidRDefault="00732668" w:rsidP="00732668">
      <w:pPr>
        <w:rPr>
          <w:rFonts w:ascii="Arial" w:hAnsi="Arial" w:cs="Arial"/>
        </w:rPr>
      </w:pPr>
    </w:p>
    <w:p w14:paraId="08A1478C" w14:textId="34319729" w:rsidR="00732668" w:rsidRPr="0081375C" w:rsidRDefault="00732668" w:rsidP="005B448A">
      <w:pPr>
        <w:pStyle w:val="Default"/>
        <w:rPr>
          <w:b/>
          <w:bCs/>
          <w:sz w:val="22"/>
          <w:szCs w:val="22"/>
        </w:rPr>
      </w:pPr>
      <w:r w:rsidRPr="0081375C">
        <w:rPr>
          <w:b/>
          <w:bCs/>
          <w:sz w:val="22"/>
          <w:szCs w:val="22"/>
        </w:rPr>
        <w:t xml:space="preserve">Naturaleza y </w:t>
      </w:r>
      <w:r w:rsidR="00CD0609" w:rsidRPr="0081375C">
        <w:rPr>
          <w:b/>
          <w:bCs/>
          <w:sz w:val="22"/>
          <w:szCs w:val="22"/>
        </w:rPr>
        <w:t>O</w:t>
      </w:r>
      <w:r w:rsidRPr="0081375C">
        <w:rPr>
          <w:b/>
          <w:bCs/>
          <w:sz w:val="22"/>
          <w:szCs w:val="22"/>
        </w:rPr>
        <w:t>bjeto</w:t>
      </w:r>
    </w:p>
    <w:p w14:paraId="2E428E64" w14:textId="77777777" w:rsidR="00732668" w:rsidRPr="0081375C" w:rsidRDefault="00732668" w:rsidP="00732668">
      <w:pPr>
        <w:rPr>
          <w:rFonts w:ascii="Arial" w:hAnsi="Arial" w:cs="Arial"/>
        </w:rPr>
      </w:pPr>
    </w:p>
    <w:p w14:paraId="4A5D6593" w14:textId="111407B1" w:rsidR="00732668" w:rsidRPr="0081375C" w:rsidRDefault="65049D20" w:rsidP="00732668">
      <w:pPr>
        <w:pStyle w:val="Prrafodelista"/>
        <w:spacing w:line="23" w:lineRule="atLeast"/>
        <w:ind w:left="0"/>
        <w:contextualSpacing w:val="0"/>
        <w:mirrorIndents/>
        <w:jc w:val="both"/>
        <w:rPr>
          <w:rFonts w:ascii="Arial" w:eastAsia="Arial" w:hAnsi="Arial" w:cs="Arial"/>
          <w:color w:val="000000" w:themeColor="text1"/>
        </w:rPr>
      </w:pPr>
      <w:r w:rsidRPr="0081375C">
        <w:rPr>
          <w:rFonts w:ascii="Arial" w:eastAsia="Arial" w:hAnsi="Arial" w:cs="Arial"/>
          <w:color w:val="000000" w:themeColor="text1"/>
        </w:rPr>
        <w:t>El Comité Técnico de Evaluación y Seguimiento (CTES) se constituye como la instancia consultiva y decisoria en el marco de la operación del esquema de PSA, encargada de validar la viabilidad integral de los predios y beneficiarios que aspiran a ingresar (cuando se cuente con la actividad de convocatoria abierta) o permanecer en el programa de Pagos por Servicios Ambientales (PSA).  Así mismo, actuará durante la fase de ejecución del esquema de PSA, convocado a necesidad para la revisión y análisis de casos puntuales relacionados con situaciones que pueden configurar riesgos de incumplimiento de los acuerdos suscritos y la revisión del procedimiento para la aplicación del protocolo de faltas. Respecto de las situaciones que puedan afectar la permanencia de los acordantes, el reconocimiento del incentivo o la continuidad del acuerdo, el CTES analizará el caso y consignará sus conclusiones en acta, mientras que la decisión correspondiente deberá adoptarse o formalizarse por la instancia expresamente competente, de conformidad con la Guía y el acuerdo de PSA. Su objetivo es asegurar que la inversión de los recursos cumpla con los principios de adicionalidad, transparencia y seguridad jurídica.</w:t>
      </w:r>
    </w:p>
    <w:p w14:paraId="7C0E8AAC" w14:textId="77777777" w:rsidR="00732668" w:rsidRPr="0081375C" w:rsidRDefault="00732668" w:rsidP="00732668">
      <w:pPr>
        <w:pStyle w:val="Prrafodelista"/>
        <w:spacing w:line="23" w:lineRule="atLeast"/>
        <w:ind w:left="0"/>
        <w:contextualSpacing w:val="0"/>
        <w:mirrorIndents/>
        <w:jc w:val="both"/>
        <w:rPr>
          <w:rFonts w:ascii="Arial" w:eastAsia="Arial" w:hAnsi="Arial" w:cs="Arial"/>
          <w:color w:val="000000" w:themeColor="text1"/>
        </w:rPr>
      </w:pPr>
    </w:p>
    <w:p w14:paraId="0B98986B" w14:textId="027B9AFE" w:rsidR="00825D4D" w:rsidRPr="0081375C" w:rsidRDefault="00806784" w:rsidP="005B448A">
      <w:pPr>
        <w:pStyle w:val="Default"/>
        <w:rPr>
          <w:b/>
          <w:bCs/>
          <w:sz w:val="22"/>
          <w:szCs w:val="22"/>
        </w:rPr>
      </w:pPr>
      <w:r w:rsidRPr="0081375C">
        <w:rPr>
          <w:b/>
          <w:bCs/>
          <w:sz w:val="22"/>
          <w:szCs w:val="22"/>
        </w:rPr>
        <w:t xml:space="preserve">Composición del </w:t>
      </w:r>
      <w:r w:rsidR="00CD0609" w:rsidRPr="0081375C">
        <w:rPr>
          <w:b/>
          <w:bCs/>
          <w:sz w:val="22"/>
          <w:szCs w:val="22"/>
        </w:rPr>
        <w:t>C</w:t>
      </w:r>
      <w:r w:rsidRPr="0081375C">
        <w:rPr>
          <w:b/>
          <w:bCs/>
          <w:sz w:val="22"/>
          <w:szCs w:val="22"/>
        </w:rPr>
        <w:t>omité</w:t>
      </w:r>
    </w:p>
    <w:p w14:paraId="7D40B14B" w14:textId="77777777" w:rsidR="00732668" w:rsidRPr="0081375C" w:rsidRDefault="00732668" w:rsidP="00732668">
      <w:pPr>
        <w:rPr>
          <w:rFonts w:ascii="Arial" w:hAnsi="Arial" w:cs="Arial"/>
        </w:rPr>
      </w:pPr>
    </w:p>
    <w:p w14:paraId="617A2306" w14:textId="546D6EC6"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 xml:space="preserve">El comité estará integrado por miembros permanentes y miembros invitados, garantizando una visión interdisciplinaria, de acuerdo con la decisión o situación que deba de analizarse. Los integrantes invitados podrán fluctuar y será a consideración de la solicitud de los miembros permanentes, además la coordinación por parte del contratista o en caso de no existir coordinación, el coordinador técnico, actuará como </w:t>
      </w:r>
      <w:r w:rsidR="53ABCE9C" w:rsidRPr="0081375C">
        <w:rPr>
          <w:rFonts w:ascii="Arial" w:eastAsia="Aptos" w:hAnsi="Arial" w:cs="Arial"/>
          <w:color w:val="000000" w:themeColor="text1"/>
        </w:rPr>
        <w:t>secretari</w:t>
      </w:r>
      <w:r w:rsidR="298DFEF7" w:rsidRPr="0081375C">
        <w:rPr>
          <w:rFonts w:ascii="Arial" w:eastAsia="Aptos" w:hAnsi="Arial" w:cs="Arial"/>
          <w:color w:val="000000" w:themeColor="text1"/>
        </w:rPr>
        <w:t>o</w:t>
      </w:r>
      <w:r w:rsidRPr="0081375C">
        <w:rPr>
          <w:rFonts w:ascii="Arial" w:eastAsia="Aptos" w:hAnsi="Arial" w:cs="Arial"/>
          <w:color w:val="000000" w:themeColor="text1"/>
        </w:rPr>
        <w:t xml:space="preserve"> general del comité.</w:t>
      </w:r>
    </w:p>
    <w:p w14:paraId="33614752" w14:textId="77777777" w:rsidR="00732668" w:rsidRPr="0081375C" w:rsidRDefault="00732668" w:rsidP="003F6B53">
      <w:pPr>
        <w:pStyle w:val="Prrafodelista"/>
        <w:spacing w:line="23" w:lineRule="atLeast"/>
        <w:ind w:left="0"/>
        <w:contextualSpacing w:val="0"/>
        <w:jc w:val="both"/>
        <w:rPr>
          <w:rFonts w:ascii="Arial" w:eastAsia="Aptos" w:hAnsi="Arial" w:cs="Arial"/>
          <w:color w:val="000000" w:themeColor="text1"/>
        </w:rPr>
      </w:pPr>
    </w:p>
    <w:p w14:paraId="4BE9C53F" w14:textId="77777777"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Miembros Permanentes (Con voz y voto):</w:t>
      </w:r>
    </w:p>
    <w:p w14:paraId="4FE58C6D" w14:textId="77777777" w:rsidR="00732668" w:rsidRPr="0081375C" w:rsidRDefault="00732668" w:rsidP="003F6B53">
      <w:pPr>
        <w:pStyle w:val="Prrafodelista"/>
        <w:spacing w:line="23" w:lineRule="atLeast"/>
        <w:ind w:left="0"/>
        <w:contextualSpacing w:val="0"/>
        <w:jc w:val="both"/>
        <w:rPr>
          <w:rFonts w:ascii="Arial" w:eastAsia="Aptos" w:hAnsi="Arial" w:cs="Arial"/>
          <w:color w:val="000000" w:themeColor="text1"/>
        </w:rPr>
      </w:pPr>
    </w:p>
    <w:p w14:paraId="6D12020D" w14:textId="51888A64" w:rsidR="00825D4D" w:rsidRPr="0081375C" w:rsidRDefault="65049D20">
      <w:pPr>
        <w:pStyle w:val="Prrafodelista"/>
        <w:numPr>
          <w:ilvl w:val="0"/>
          <w:numId w:val="20"/>
        </w:numPr>
        <w:spacing w:line="23" w:lineRule="atLeast"/>
        <w:contextualSpacing w:val="0"/>
        <w:jc w:val="both"/>
        <w:rPr>
          <w:rFonts w:ascii="Arial" w:eastAsia="Aptos" w:hAnsi="Arial" w:cs="Arial"/>
          <w:color w:val="000000" w:themeColor="text1"/>
        </w:rPr>
      </w:pPr>
      <w:r w:rsidRPr="0081375C">
        <w:rPr>
          <w:rFonts w:ascii="Arial" w:eastAsia="Aptos" w:hAnsi="Arial" w:cs="Arial"/>
          <w:b/>
          <w:bCs/>
          <w:color w:val="000000" w:themeColor="text1"/>
        </w:rPr>
        <w:lastRenderedPageBreak/>
        <w:t>Coordinador(a) del esquema de PSA:</w:t>
      </w:r>
      <w:r w:rsidRPr="0081375C">
        <w:rPr>
          <w:rFonts w:ascii="Arial" w:eastAsia="Aptos" w:hAnsi="Arial" w:cs="Arial"/>
          <w:color w:val="000000" w:themeColor="text1"/>
        </w:rPr>
        <w:t xml:space="preserve"> Representante del contratista, quien lo convocará, presidirá y velará por el cumplimiento de la estrategia técnica.</w:t>
      </w:r>
    </w:p>
    <w:p w14:paraId="113C7379" w14:textId="030A089B" w:rsidR="00825D4D" w:rsidRPr="0081375C" w:rsidRDefault="00806784">
      <w:pPr>
        <w:pStyle w:val="Prrafodelista"/>
        <w:numPr>
          <w:ilvl w:val="0"/>
          <w:numId w:val="20"/>
        </w:numPr>
        <w:spacing w:line="23" w:lineRule="atLeast"/>
        <w:contextualSpacing w:val="0"/>
        <w:jc w:val="both"/>
        <w:rPr>
          <w:rFonts w:ascii="Arial" w:eastAsia="Aptos" w:hAnsi="Arial" w:cs="Arial"/>
          <w:color w:val="000000" w:themeColor="text1"/>
        </w:rPr>
      </w:pPr>
      <w:r w:rsidRPr="0081375C">
        <w:rPr>
          <w:rFonts w:ascii="Arial" w:eastAsia="Aptos" w:hAnsi="Arial" w:cs="Arial"/>
          <w:b/>
          <w:bCs/>
          <w:color w:val="000000" w:themeColor="text1"/>
        </w:rPr>
        <w:t>Coordinador técnico o de seguimiento:</w:t>
      </w:r>
      <w:r w:rsidRPr="0081375C">
        <w:rPr>
          <w:rFonts w:ascii="Arial" w:eastAsia="Aptos" w:hAnsi="Arial" w:cs="Arial"/>
          <w:color w:val="000000" w:themeColor="text1"/>
        </w:rPr>
        <w:t xml:space="preserve"> Profesional o profesionales, puede ser un representante por modalidad de PSA, quién en ausencia de la coordinación puede presidir el comité. Son los responsables de realizar la verificación ambiental de los predios postulados en la fase de convocatoria y del seguimiento a los acuerdos vigentes.</w:t>
      </w:r>
    </w:p>
    <w:p w14:paraId="7FDEB966" w14:textId="6ED0DA53" w:rsidR="00825D4D" w:rsidRPr="0081375C" w:rsidRDefault="00806784">
      <w:pPr>
        <w:pStyle w:val="Prrafodelista"/>
        <w:numPr>
          <w:ilvl w:val="0"/>
          <w:numId w:val="20"/>
        </w:numPr>
        <w:spacing w:line="23" w:lineRule="atLeast"/>
        <w:contextualSpacing w:val="0"/>
        <w:jc w:val="both"/>
        <w:rPr>
          <w:rFonts w:ascii="Arial" w:eastAsia="Aptos" w:hAnsi="Arial" w:cs="Arial"/>
          <w:color w:val="000000" w:themeColor="text1"/>
        </w:rPr>
      </w:pPr>
      <w:r w:rsidRPr="0081375C">
        <w:rPr>
          <w:rFonts w:ascii="Arial" w:eastAsia="Aptos" w:hAnsi="Arial" w:cs="Arial"/>
          <w:b/>
          <w:bCs/>
          <w:color w:val="000000" w:themeColor="text1"/>
        </w:rPr>
        <w:t>Abogado(a):</w:t>
      </w:r>
      <w:r w:rsidRPr="0081375C">
        <w:rPr>
          <w:rFonts w:ascii="Arial" w:eastAsia="Aptos" w:hAnsi="Arial" w:cs="Arial"/>
          <w:color w:val="000000" w:themeColor="text1"/>
        </w:rPr>
        <w:t xml:space="preserve"> Encargado de la validación de títulos, la debida diligencia de la propiedad y el cumplimiento de la normatividad que rige la materia.</w:t>
      </w:r>
    </w:p>
    <w:p w14:paraId="7FD5FC1B" w14:textId="338B2C81" w:rsidR="00825D4D" w:rsidRPr="0081375C" w:rsidRDefault="00806784">
      <w:pPr>
        <w:pStyle w:val="Prrafodelista"/>
        <w:numPr>
          <w:ilvl w:val="0"/>
          <w:numId w:val="20"/>
        </w:numPr>
        <w:spacing w:line="23" w:lineRule="atLeast"/>
        <w:contextualSpacing w:val="0"/>
        <w:jc w:val="both"/>
        <w:rPr>
          <w:rFonts w:ascii="Arial" w:eastAsia="Aptos" w:hAnsi="Arial" w:cs="Arial"/>
          <w:color w:val="000000" w:themeColor="text1"/>
        </w:rPr>
      </w:pPr>
      <w:r w:rsidRPr="0081375C">
        <w:rPr>
          <w:rFonts w:ascii="Arial" w:eastAsia="Aptos" w:hAnsi="Arial" w:cs="Arial"/>
          <w:b/>
          <w:bCs/>
          <w:color w:val="000000" w:themeColor="text1"/>
        </w:rPr>
        <w:t>Profesional Social:</w:t>
      </w:r>
      <w:r w:rsidRPr="0081375C">
        <w:rPr>
          <w:rFonts w:ascii="Arial" w:eastAsia="Aptos" w:hAnsi="Arial" w:cs="Arial"/>
          <w:color w:val="000000" w:themeColor="text1"/>
        </w:rPr>
        <w:t xml:space="preserve"> Profesional que está en relación directa con la ejecución de la convocatoria y además informar sobre posibles conflictos de tenencia, antecedentes comunitarios o viabilidad de los acuerdos con los propietarios. </w:t>
      </w:r>
    </w:p>
    <w:p w14:paraId="0A7D8009" w14:textId="7D07D159" w:rsidR="00825D4D" w:rsidRPr="0081375C" w:rsidRDefault="00806784">
      <w:pPr>
        <w:pStyle w:val="Prrafodelista"/>
        <w:numPr>
          <w:ilvl w:val="0"/>
          <w:numId w:val="20"/>
        </w:numPr>
        <w:spacing w:line="23" w:lineRule="atLeast"/>
        <w:contextualSpacing w:val="0"/>
        <w:jc w:val="both"/>
        <w:rPr>
          <w:rFonts w:ascii="Arial" w:eastAsia="Aptos" w:hAnsi="Arial" w:cs="Arial"/>
          <w:color w:val="000000" w:themeColor="text1"/>
        </w:rPr>
      </w:pPr>
      <w:r w:rsidRPr="0081375C">
        <w:rPr>
          <w:rFonts w:ascii="Arial" w:eastAsia="Aptos" w:hAnsi="Arial" w:cs="Arial"/>
          <w:b/>
          <w:bCs/>
          <w:color w:val="000000" w:themeColor="text1"/>
        </w:rPr>
        <w:t>Representante de la secretaria de Medio Ambiente:</w:t>
      </w:r>
      <w:r w:rsidRPr="0081375C">
        <w:rPr>
          <w:rFonts w:ascii="Arial" w:eastAsia="Aptos" w:hAnsi="Arial" w:cs="Arial"/>
          <w:color w:val="000000" w:themeColor="text1"/>
        </w:rPr>
        <w:t xml:space="preserve"> Corresponde a la persona que ejerza la supervisión del contrato, en su ausencia el suplente o la persona que delegue la subsecretaria de Recursos Naturales Renovables para participar.</w:t>
      </w:r>
    </w:p>
    <w:p w14:paraId="60FC36BA" w14:textId="3984AA3A" w:rsidR="00825D4D" w:rsidRPr="0081375C" w:rsidRDefault="00825D4D" w:rsidP="77D4F313">
      <w:pPr>
        <w:pStyle w:val="Prrafodelista"/>
        <w:spacing w:line="23" w:lineRule="atLeast"/>
        <w:contextualSpacing w:val="0"/>
        <w:jc w:val="both"/>
        <w:rPr>
          <w:rFonts w:ascii="Arial" w:eastAsia="Aptos" w:hAnsi="Arial" w:cs="Arial"/>
          <w:color w:val="000000" w:themeColor="text1"/>
        </w:rPr>
      </w:pPr>
    </w:p>
    <w:p w14:paraId="1DEB09DD" w14:textId="530DE34E" w:rsidR="00825D4D" w:rsidRPr="0081375C" w:rsidRDefault="00806784" w:rsidP="77D4F313">
      <w:pPr>
        <w:spacing w:line="23" w:lineRule="atLeast"/>
        <w:jc w:val="both"/>
        <w:rPr>
          <w:rFonts w:ascii="Arial" w:eastAsia="Aptos" w:hAnsi="Arial" w:cs="Arial"/>
          <w:color w:val="000000" w:themeColor="text1"/>
        </w:rPr>
      </w:pPr>
      <w:r w:rsidRPr="0081375C">
        <w:rPr>
          <w:rFonts w:ascii="Arial" w:hAnsi="Arial"/>
          <w:b/>
          <w:color w:val="000000" w:themeColor="text1"/>
        </w:rPr>
        <w:t>Como miembros Invitados (Con voz, pero sin voto - según pertinencia):</w:t>
      </w:r>
      <w:r w:rsidR="00732668" w:rsidRPr="0081375C">
        <w:rPr>
          <w:rFonts w:ascii="Arial" w:eastAsia="Aptos" w:hAnsi="Arial" w:cs="Arial"/>
          <w:color w:val="000000" w:themeColor="text1"/>
        </w:rPr>
        <w:t xml:space="preserve"> </w:t>
      </w:r>
      <w:r w:rsidRPr="0081375C">
        <w:rPr>
          <w:rFonts w:ascii="Arial" w:eastAsia="Aptos" w:hAnsi="Arial" w:cs="Arial"/>
          <w:color w:val="000000" w:themeColor="text1"/>
        </w:rPr>
        <w:t xml:space="preserve">Cualquier otro profesional </w:t>
      </w:r>
      <w:r w:rsidR="75E51423" w:rsidRPr="0081375C">
        <w:rPr>
          <w:rFonts w:ascii="Arial" w:eastAsia="Aptos" w:hAnsi="Arial" w:cs="Arial"/>
          <w:color w:val="000000" w:themeColor="text1"/>
        </w:rPr>
        <w:t xml:space="preserve">o técnico </w:t>
      </w:r>
      <w:r w:rsidRPr="0081375C">
        <w:rPr>
          <w:rFonts w:ascii="Arial" w:eastAsia="Aptos" w:hAnsi="Arial" w:cs="Arial"/>
          <w:color w:val="000000" w:themeColor="text1"/>
        </w:rPr>
        <w:t>que los miembros permanentes consideren necesario según la agenda programada para el comité. Generalmente en la fase inicial de la convocatoria, debe participar el comunicador contratado, en caso de no contar con esta persona, podrá ser invitada el área de comunicaciones de la SMA.</w:t>
      </w:r>
    </w:p>
    <w:p w14:paraId="1D44EFB5" w14:textId="77777777" w:rsidR="00CD0609" w:rsidRPr="0081375C" w:rsidRDefault="00CD0609" w:rsidP="005F4A7A">
      <w:pPr>
        <w:spacing w:line="23" w:lineRule="atLeast"/>
        <w:jc w:val="both"/>
        <w:rPr>
          <w:rFonts w:ascii="Arial" w:eastAsia="Aptos" w:hAnsi="Arial" w:cs="Arial"/>
          <w:color w:val="000000" w:themeColor="text1"/>
        </w:rPr>
      </w:pPr>
    </w:p>
    <w:p w14:paraId="01602FE3" w14:textId="1201DC27" w:rsidR="00825D4D" w:rsidRPr="0081375C" w:rsidRDefault="00806784" w:rsidP="005B448A">
      <w:pPr>
        <w:pStyle w:val="Default"/>
        <w:rPr>
          <w:b/>
          <w:bCs/>
          <w:sz w:val="22"/>
          <w:szCs w:val="22"/>
        </w:rPr>
      </w:pPr>
      <w:r w:rsidRPr="0081375C">
        <w:rPr>
          <w:b/>
          <w:bCs/>
          <w:sz w:val="22"/>
          <w:szCs w:val="22"/>
        </w:rPr>
        <w:t xml:space="preserve">Funciones </w:t>
      </w:r>
      <w:r w:rsidR="00CD0609" w:rsidRPr="0081375C">
        <w:rPr>
          <w:b/>
          <w:bCs/>
          <w:sz w:val="22"/>
          <w:szCs w:val="22"/>
        </w:rPr>
        <w:t>P</w:t>
      </w:r>
      <w:r w:rsidRPr="0081375C">
        <w:rPr>
          <w:b/>
          <w:bCs/>
          <w:sz w:val="22"/>
          <w:szCs w:val="22"/>
        </w:rPr>
        <w:t>rincipales</w:t>
      </w:r>
    </w:p>
    <w:p w14:paraId="6219CF36" w14:textId="77777777" w:rsidR="00825D4D" w:rsidRPr="0081375C" w:rsidRDefault="00825D4D" w:rsidP="003F6B53">
      <w:pPr>
        <w:spacing w:line="23" w:lineRule="atLeast"/>
        <w:jc w:val="both"/>
        <w:rPr>
          <w:rFonts w:ascii="Arial" w:hAnsi="Arial" w:cs="Arial"/>
          <w:color w:val="000000" w:themeColor="text1"/>
        </w:rPr>
      </w:pPr>
    </w:p>
    <w:p w14:paraId="13657055" w14:textId="5CF92FF7" w:rsidR="00825D4D" w:rsidRPr="0081375C" w:rsidRDefault="00825D4D" w:rsidP="003F6B53">
      <w:p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 xml:space="preserve">El </w:t>
      </w:r>
      <w:r w:rsidR="000C5339" w:rsidRPr="0081375C">
        <w:rPr>
          <w:rFonts w:ascii="Arial" w:eastAsia="Arial" w:hAnsi="Arial" w:cs="Arial"/>
          <w:color w:val="000000" w:themeColor="text1"/>
        </w:rPr>
        <w:t xml:space="preserve">Comité Técnico de Evaluación y Seguimiento </w:t>
      </w:r>
      <w:r w:rsidRPr="0081375C">
        <w:rPr>
          <w:rFonts w:ascii="Arial" w:eastAsia="Arial" w:hAnsi="Arial" w:cs="Arial"/>
          <w:color w:val="000000" w:themeColor="text1"/>
        </w:rPr>
        <w:t>CTES ejercerá las siguientes funciones:</w:t>
      </w:r>
    </w:p>
    <w:p w14:paraId="4DAA2A5B" w14:textId="77777777" w:rsidR="00732668" w:rsidRPr="0081375C" w:rsidRDefault="00732668" w:rsidP="003F6B53">
      <w:pPr>
        <w:spacing w:line="23" w:lineRule="atLeast"/>
        <w:mirrorIndents/>
        <w:jc w:val="both"/>
        <w:rPr>
          <w:rFonts w:ascii="Arial" w:eastAsia="Arial" w:hAnsi="Arial" w:cs="Arial"/>
          <w:color w:val="000000" w:themeColor="text1"/>
        </w:rPr>
      </w:pPr>
    </w:p>
    <w:p w14:paraId="35932214" w14:textId="01AD36B9" w:rsidR="00825D4D" w:rsidRPr="0081375C" w:rsidRDefault="65049D20" w:rsidP="003F6B53">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t>Preparación Convocatoria:</w:t>
      </w:r>
      <w:r w:rsidRPr="0081375C">
        <w:rPr>
          <w:rFonts w:ascii="Arial" w:eastAsia="Arial" w:hAnsi="Arial" w:cs="Arial"/>
          <w:color w:val="000000" w:themeColor="text1"/>
        </w:rPr>
        <w:t xml:space="preserve"> Reunión inicial donde se revisa y aprueba el cronograma de la convocatoria, las áreas focales para la convocatoria, la metodología de socialización y divulgación, y los principales contenidos del comunicado de apertura de la convocatoria de PSA. </w:t>
      </w:r>
    </w:p>
    <w:p w14:paraId="51CDE681" w14:textId="77777777" w:rsidR="00732668" w:rsidRPr="0081375C" w:rsidRDefault="00732668" w:rsidP="00732668">
      <w:pPr>
        <w:pStyle w:val="Prrafodelista"/>
        <w:spacing w:line="23" w:lineRule="atLeast"/>
        <w:contextualSpacing w:val="0"/>
        <w:mirrorIndents/>
        <w:jc w:val="both"/>
        <w:rPr>
          <w:rFonts w:ascii="Arial" w:eastAsia="Arial" w:hAnsi="Arial" w:cs="Arial"/>
          <w:color w:val="000000" w:themeColor="text1"/>
        </w:rPr>
      </w:pPr>
    </w:p>
    <w:p w14:paraId="688F31C1"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t>Validación de Pertinencia:</w:t>
      </w:r>
      <w:r w:rsidRPr="0081375C">
        <w:rPr>
          <w:rFonts w:ascii="Arial" w:eastAsia="Arial" w:hAnsi="Arial" w:cs="Arial"/>
          <w:color w:val="000000" w:themeColor="text1"/>
        </w:rPr>
        <w:t xml:space="preserve"> Emitir concepto técnico sobre si el predio (s) aporta efectivamente a la conservación de la biodiversidad o regulación hídrica (basado en los criterios de priorización) durante la fase de convocatoria.</w:t>
      </w:r>
    </w:p>
    <w:p w14:paraId="16014199" w14:textId="77777777" w:rsidR="00732668" w:rsidRPr="0081375C" w:rsidRDefault="00732668" w:rsidP="00732668">
      <w:pPr>
        <w:spacing w:line="23" w:lineRule="atLeast"/>
        <w:mirrorIndents/>
        <w:jc w:val="both"/>
        <w:rPr>
          <w:rFonts w:ascii="Arial" w:eastAsia="Arial" w:hAnsi="Arial" w:cs="Arial"/>
          <w:color w:val="000000" w:themeColor="text1"/>
        </w:rPr>
      </w:pPr>
    </w:p>
    <w:p w14:paraId="5874A6CF" w14:textId="7CE03428" w:rsidR="00825D4D" w:rsidRPr="0081375C" w:rsidRDefault="00806784" w:rsidP="003F6B53">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t xml:space="preserve">Seguimiento a la </w:t>
      </w:r>
      <w:r w:rsidR="00CD0609" w:rsidRPr="0081375C">
        <w:rPr>
          <w:rFonts w:ascii="Arial" w:eastAsia="Arial" w:hAnsi="Arial" w:cs="Arial"/>
          <w:b/>
          <w:bCs/>
          <w:color w:val="000000" w:themeColor="text1"/>
        </w:rPr>
        <w:t>V</w:t>
      </w:r>
      <w:r w:rsidRPr="0081375C">
        <w:rPr>
          <w:rFonts w:ascii="Arial" w:eastAsia="Arial" w:hAnsi="Arial" w:cs="Arial"/>
          <w:b/>
          <w:bCs/>
          <w:color w:val="000000" w:themeColor="text1"/>
        </w:rPr>
        <w:t xml:space="preserve">inculación de </w:t>
      </w:r>
      <w:r w:rsidR="00CD0609" w:rsidRPr="0081375C">
        <w:rPr>
          <w:rFonts w:ascii="Arial" w:eastAsia="Arial" w:hAnsi="Arial" w:cs="Arial"/>
          <w:b/>
          <w:bCs/>
          <w:color w:val="000000" w:themeColor="text1"/>
        </w:rPr>
        <w:t>N</w:t>
      </w:r>
      <w:r w:rsidRPr="0081375C">
        <w:rPr>
          <w:rFonts w:ascii="Arial" w:eastAsia="Arial" w:hAnsi="Arial" w:cs="Arial"/>
          <w:b/>
          <w:bCs/>
          <w:color w:val="000000" w:themeColor="text1"/>
        </w:rPr>
        <w:t xml:space="preserve">uevos </w:t>
      </w:r>
      <w:r w:rsidR="00CD0609" w:rsidRPr="0081375C">
        <w:rPr>
          <w:rFonts w:ascii="Arial" w:eastAsia="Arial" w:hAnsi="Arial" w:cs="Arial"/>
          <w:b/>
          <w:bCs/>
          <w:color w:val="000000" w:themeColor="text1"/>
        </w:rPr>
        <w:t>A</w:t>
      </w:r>
      <w:r w:rsidRPr="0081375C">
        <w:rPr>
          <w:rFonts w:ascii="Arial" w:eastAsia="Arial" w:hAnsi="Arial" w:cs="Arial"/>
          <w:b/>
          <w:bCs/>
          <w:color w:val="000000" w:themeColor="text1"/>
        </w:rPr>
        <w:t>cordantes:</w:t>
      </w:r>
      <w:r w:rsidRPr="0081375C">
        <w:rPr>
          <w:rFonts w:ascii="Arial" w:eastAsia="Arial" w:hAnsi="Arial" w:cs="Arial"/>
          <w:color w:val="000000" w:themeColor="text1"/>
        </w:rPr>
        <w:t xml:space="preserve"> Durante la fase de convocatoria (hasta la formalización) se deberá llevar a cabo el comité con mayor frecuencia, con la finalidad de conocer y hacer seguimiento al cronograma de la convocatoria, al proceso de postulación, análisis a los casos puntuales en temas jurídicos y de definición de acciones de PSA, y en general el cumplimiento de los indicadores asociados a área bajo PSA, entre otros temas. Como parte de este seguimiento se propone una reunión de cierre de la convocatoria.</w:t>
      </w:r>
    </w:p>
    <w:p w14:paraId="26CE8246" w14:textId="77777777" w:rsidR="00732668" w:rsidRPr="0081375C" w:rsidRDefault="00732668" w:rsidP="00732668">
      <w:pPr>
        <w:spacing w:line="23" w:lineRule="atLeast"/>
        <w:mirrorIndents/>
        <w:jc w:val="both"/>
        <w:rPr>
          <w:rFonts w:ascii="Arial" w:eastAsia="Arial" w:hAnsi="Arial" w:cs="Arial"/>
          <w:color w:val="000000" w:themeColor="text1"/>
        </w:rPr>
      </w:pPr>
    </w:p>
    <w:p w14:paraId="50978C8D" w14:textId="20B47D88" w:rsidR="00732668" w:rsidRPr="0081375C" w:rsidRDefault="00806784" w:rsidP="00732668">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lastRenderedPageBreak/>
        <w:t xml:space="preserve">Revisiones de </w:t>
      </w:r>
      <w:r w:rsidR="00CD0609" w:rsidRPr="0081375C">
        <w:rPr>
          <w:rFonts w:ascii="Arial" w:eastAsia="Arial" w:hAnsi="Arial" w:cs="Arial"/>
          <w:b/>
          <w:bCs/>
          <w:color w:val="000000" w:themeColor="text1"/>
        </w:rPr>
        <w:t>I</w:t>
      </w:r>
      <w:r w:rsidRPr="0081375C">
        <w:rPr>
          <w:rFonts w:ascii="Arial" w:eastAsia="Arial" w:hAnsi="Arial" w:cs="Arial"/>
          <w:b/>
          <w:bCs/>
          <w:color w:val="000000" w:themeColor="text1"/>
        </w:rPr>
        <w:t>mpactos Jurídicos:</w:t>
      </w:r>
      <w:r w:rsidRPr="0081375C">
        <w:rPr>
          <w:rFonts w:ascii="Arial" w:eastAsia="Arial" w:hAnsi="Arial" w:cs="Arial"/>
          <w:color w:val="000000" w:themeColor="text1"/>
        </w:rPr>
        <w:t xml:space="preserve"> Revisar situaciones jurídicas surgidas entre las validaciones documentales o en ejecución de acuerdos durante la convocatoria y durante la vigencia del acuerdo con el fin de tomar decisiones oportunamente.</w:t>
      </w:r>
    </w:p>
    <w:p w14:paraId="6F360EBB" w14:textId="77777777" w:rsidR="00732668" w:rsidRPr="0081375C" w:rsidRDefault="00732668" w:rsidP="00732668">
      <w:pPr>
        <w:spacing w:line="23" w:lineRule="atLeast"/>
        <w:mirrorIndents/>
        <w:jc w:val="both"/>
        <w:rPr>
          <w:rFonts w:ascii="Arial" w:eastAsia="Arial" w:hAnsi="Arial" w:cs="Arial"/>
          <w:color w:val="000000" w:themeColor="text1"/>
        </w:rPr>
      </w:pPr>
    </w:p>
    <w:p w14:paraId="4A2C02D8" w14:textId="4BDB4FE0" w:rsidR="00732668" w:rsidRPr="0081375C" w:rsidRDefault="24F374D0" w:rsidP="00732668">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t>Revisión</w:t>
      </w:r>
      <w:r w:rsidR="00806784" w:rsidRPr="0081375C">
        <w:rPr>
          <w:rFonts w:ascii="Arial" w:eastAsia="Arial" w:hAnsi="Arial" w:cs="Arial"/>
          <w:b/>
          <w:bCs/>
          <w:color w:val="000000" w:themeColor="text1"/>
        </w:rPr>
        <w:t xml:space="preserve"> del </w:t>
      </w:r>
      <w:r w:rsidR="00CD0609" w:rsidRPr="0081375C">
        <w:rPr>
          <w:rFonts w:ascii="Arial" w:eastAsia="Arial" w:hAnsi="Arial" w:cs="Arial"/>
          <w:b/>
          <w:bCs/>
          <w:color w:val="000000" w:themeColor="text1"/>
        </w:rPr>
        <w:t>P</w:t>
      </w:r>
      <w:r w:rsidR="00806784" w:rsidRPr="0081375C">
        <w:rPr>
          <w:rFonts w:ascii="Arial" w:eastAsia="Arial" w:hAnsi="Arial" w:cs="Arial"/>
          <w:b/>
          <w:bCs/>
          <w:color w:val="000000" w:themeColor="text1"/>
        </w:rPr>
        <w:t>resupuesto:</w:t>
      </w:r>
      <w:r w:rsidR="00806784" w:rsidRPr="0081375C">
        <w:rPr>
          <w:rFonts w:ascii="Arial" w:eastAsia="Arial" w:hAnsi="Arial" w:cs="Arial"/>
          <w:color w:val="000000" w:themeColor="text1"/>
        </w:rPr>
        <w:t xml:space="preserve"> Revisar la priorización sobre los predios aprobados según la disponibilidad de recursos.</w:t>
      </w:r>
    </w:p>
    <w:p w14:paraId="61025B12" w14:textId="77777777" w:rsidR="00732668" w:rsidRPr="0081375C" w:rsidRDefault="00732668" w:rsidP="00732668">
      <w:pPr>
        <w:spacing w:line="23" w:lineRule="atLeast"/>
        <w:mirrorIndents/>
        <w:jc w:val="both"/>
        <w:rPr>
          <w:rFonts w:ascii="Arial" w:eastAsia="Arial" w:hAnsi="Arial" w:cs="Arial"/>
          <w:color w:val="000000" w:themeColor="text1"/>
        </w:rPr>
      </w:pPr>
    </w:p>
    <w:p w14:paraId="1C5DC01A" w14:textId="77777777" w:rsidR="00825D4D" w:rsidRPr="0081375C" w:rsidRDefault="00806784" w:rsidP="003F6B53">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t>Resolución de Novedades:</w:t>
      </w:r>
      <w:r w:rsidRPr="0081375C">
        <w:rPr>
          <w:rFonts w:ascii="Arial" w:eastAsia="Arial" w:hAnsi="Arial" w:cs="Arial"/>
          <w:color w:val="000000" w:themeColor="text1"/>
        </w:rPr>
        <w:t xml:space="preserve"> Analizar situaciones particulares como resultado del seguimiento a los acuerdos de PSA y el monitoreo de los servicios ambientales en los predios participantes, entre ellos, revisar los informes de monitoreo antes de autorizar los pagos trimestrales, semestrales o anuales solamente en casos con riesgo de incumplimiento de los acuerdos. </w:t>
      </w:r>
    </w:p>
    <w:p w14:paraId="65356D9B" w14:textId="77777777" w:rsidR="00732668" w:rsidRPr="0081375C" w:rsidRDefault="00732668" w:rsidP="00732668">
      <w:pPr>
        <w:spacing w:line="23" w:lineRule="atLeast"/>
        <w:mirrorIndents/>
        <w:jc w:val="both"/>
        <w:rPr>
          <w:rFonts w:ascii="Arial" w:eastAsia="Arial" w:hAnsi="Arial" w:cs="Arial"/>
          <w:color w:val="000000" w:themeColor="text1"/>
        </w:rPr>
      </w:pPr>
    </w:p>
    <w:p w14:paraId="539F64AF" w14:textId="47B18E97" w:rsidR="00825D4D" w:rsidRPr="0081375C" w:rsidRDefault="65049D20" w:rsidP="003F6B53">
      <w:pPr>
        <w:pStyle w:val="Prrafodelista"/>
        <w:numPr>
          <w:ilvl w:val="0"/>
          <w:numId w:val="2"/>
        </w:numPr>
        <w:spacing w:line="23" w:lineRule="atLeast"/>
        <w:contextualSpacing w:val="0"/>
        <w:mirrorIndents/>
        <w:jc w:val="both"/>
        <w:rPr>
          <w:rFonts w:ascii="Arial" w:eastAsia="Arial" w:hAnsi="Arial" w:cs="Arial"/>
          <w:color w:val="000000" w:themeColor="text1"/>
        </w:rPr>
      </w:pPr>
      <w:r w:rsidRPr="0081375C">
        <w:rPr>
          <w:rFonts w:ascii="Arial" w:eastAsia="Arial" w:hAnsi="Arial" w:cs="Arial"/>
          <w:b/>
          <w:bCs/>
          <w:color w:val="000000" w:themeColor="text1"/>
        </w:rPr>
        <w:t>Seguimiento a la Condicionalidad:</w:t>
      </w:r>
      <w:r w:rsidRPr="0081375C">
        <w:rPr>
          <w:rFonts w:ascii="Arial" w:eastAsia="Arial" w:hAnsi="Arial" w:cs="Arial"/>
          <w:color w:val="000000" w:themeColor="text1"/>
        </w:rPr>
        <w:t xml:space="preserve"> Evaluar la situación de incumplimiento de las obligaciones del acuerdo de pago o terminación unilateral del acuerdo. </w:t>
      </w:r>
    </w:p>
    <w:p w14:paraId="0E124FBC" w14:textId="77777777" w:rsidR="00732668" w:rsidRPr="0081375C" w:rsidRDefault="00732668" w:rsidP="00732668">
      <w:pPr>
        <w:spacing w:line="23" w:lineRule="atLeast"/>
        <w:mirrorIndents/>
        <w:jc w:val="both"/>
        <w:rPr>
          <w:rFonts w:ascii="Arial" w:eastAsia="Arial" w:hAnsi="Arial" w:cs="Arial"/>
          <w:color w:val="000000" w:themeColor="text1"/>
        </w:rPr>
      </w:pPr>
    </w:p>
    <w:p w14:paraId="24E6731B" w14:textId="77777777" w:rsidR="00825D4D" w:rsidRPr="0081375C" w:rsidRDefault="00806784" w:rsidP="00732668">
      <w:p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Cualquier otra actividad que entre los miembros permanentes consideren necesaria o que la supervisión del contrato sugiera analizar y requiera de la decisión conjunta del comité.</w:t>
      </w:r>
    </w:p>
    <w:p w14:paraId="0DEE5674" w14:textId="77777777" w:rsidR="00732668" w:rsidRPr="0081375C" w:rsidRDefault="00732668" w:rsidP="00732668">
      <w:pPr>
        <w:spacing w:line="23" w:lineRule="atLeast"/>
        <w:mirrorIndents/>
        <w:jc w:val="both"/>
        <w:rPr>
          <w:rFonts w:ascii="Arial" w:eastAsia="Arial" w:hAnsi="Arial" w:cs="Arial"/>
          <w:color w:val="000000" w:themeColor="text1"/>
        </w:rPr>
      </w:pPr>
    </w:p>
    <w:p w14:paraId="5613880B" w14:textId="35AD4335" w:rsidR="00825D4D" w:rsidRPr="0081375C" w:rsidRDefault="00806784" w:rsidP="005B448A">
      <w:pPr>
        <w:pStyle w:val="Default"/>
        <w:rPr>
          <w:b/>
          <w:bCs/>
          <w:sz w:val="22"/>
          <w:szCs w:val="22"/>
        </w:rPr>
      </w:pPr>
      <w:r w:rsidRPr="0081375C">
        <w:rPr>
          <w:b/>
          <w:bCs/>
          <w:sz w:val="22"/>
          <w:szCs w:val="22"/>
        </w:rPr>
        <w:t xml:space="preserve">Régimen de </w:t>
      </w:r>
      <w:r w:rsidR="001B6AE6" w:rsidRPr="0081375C">
        <w:rPr>
          <w:b/>
          <w:bCs/>
          <w:sz w:val="22"/>
          <w:szCs w:val="22"/>
        </w:rPr>
        <w:t>F</w:t>
      </w:r>
      <w:r w:rsidRPr="0081375C">
        <w:rPr>
          <w:b/>
          <w:bCs/>
          <w:sz w:val="22"/>
          <w:szCs w:val="22"/>
        </w:rPr>
        <w:t xml:space="preserve">uncionamiento y </w:t>
      </w:r>
      <w:r w:rsidR="001B6AE6" w:rsidRPr="0081375C">
        <w:rPr>
          <w:b/>
          <w:bCs/>
          <w:sz w:val="22"/>
          <w:szCs w:val="22"/>
        </w:rPr>
        <w:t>P</w:t>
      </w:r>
      <w:r w:rsidRPr="0081375C">
        <w:rPr>
          <w:b/>
          <w:bCs/>
          <w:sz w:val="22"/>
          <w:szCs w:val="22"/>
        </w:rPr>
        <w:t>lazos</w:t>
      </w:r>
    </w:p>
    <w:p w14:paraId="5E60F1D4" w14:textId="77777777" w:rsidR="00732668" w:rsidRPr="0081375C" w:rsidRDefault="00732668" w:rsidP="00732668">
      <w:pPr>
        <w:rPr>
          <w:rFonts w:ascii="Arial" w:hAnsi="Arial" w:cs="Arial"/>
        </w:rPr>
      </w:pPr>
    </w:p>
    <w:p w14:paraId="104D9FCE" w14:textId="77777777" w:rsidR="00825D4D" w:rsidRPr="0081375C" w:rsidRDefault="00806784" w:rsidP="003F6B53">
      <w:pPr>
        <w:spacing w:line="23" w:lineRule="atLeast"/>
        <w:mirrorIndents/>
        <w:jc w:val="both"/>
        <w:rPr>
          <w:rFonts w:ascii="Arial" w:eastAsia="Arial" w:hAnsi="Arial" w:cs="Arial"/>
          <w:color w:val="000000" w:themeColor="text1"/>
        </w:rPr>
      </w:pPr>
      <w:r w:rsidRPr="0081375C">
        <w:rPr>
          <w:rFonts w:ascii="Arial" w:eastAsia="Arial" w:hAnsi="Arial" w:cs="Arial"/>
          <w:color w:val="000000" w:themeColor="text1"/>
        </w:rPr>
        <w:t>Para asegurar la agilidad administrativa y lograr las metas e indicadores, el comité operará bajo el siguiente cronograma:</w:t>
      </w:r>
    </w:p>
    <w:p w14:paraId="18061E06" w14:textId="77777777" w:rsidR="00732668" w:rsidRPr="0081375C" w:rsidRDefault="00732668" w:rsidP="003F6B53">
      <w:pPr>
        <w:spacing w:line="23" w:lineRule="atLeast"/>
        <w:mirrorIndents/>
        <w:jc w:val="both"/>
        <w:rPr>
          <w:rFonts w:ascii="Arial" w:eastAsia="Arial" w:hAnsi="Arial" w:cs="Arial"/>
          <w:color w:val="000000" w:themeColor="text1"/>
        </w:rPr>
      </w:pPr>
    </w:p>
    <w:p w14:paraId="2D1059B2" w14:textId="766355D4" w:rsidR="00825D4D" w:rsidRPr="0081375C" w:rsidRDefault="00806784" w:rsidP="003F6B53">
      <w:pPr>
        <w:spacing w:line="23" w:lineRule="atLeast"/>
        <w:mirrorIndents/>
        <w:jc w:val="both"/>
        <w:rPr>
          <w:rFonts w:ascii="Arial" w:eastAsia="Arial" w:hAnsi="Arial" w:cs="Arial"/>
          <w:b/>
          <w:bCs/>
          <w:color w:val="000000" w:themeColor="text1"/>
          <w:sz w:val="20"/>
          <w:szCs w:val="20"/>
        </w:rPr>
      </w:pPr>
      <w:bookmarkStart w:id="78" w:name="_Toc233040675"/>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27</w:t>
      </w:r>
      <w:r w:rsidRPr="0081375C">
        <w:rPr>
          <w:rFonts w:ascii="Arial" w:hAnsi="Arial" w:cs="Arial"/>
          <w:b/>
          <w:bCs/>
          <w:color w:val="000000" w:themeColor="text1"/>
          <w:sz w:val="20"/>
          <w:szCs w:val="20"/>
        </w:rPr>
        <w:fldChar w:fldCharType="end"/>
      </w:r>
      <w:r w:rsidRPr="0081375C">
        <w:rPr>
          <w:rFonts w:ascii="Arial" w:eastAsia="Arial" w:hAnsi="Arial" w:cs="Arial"/>
          <w:b/>
          <w:bCs/>
          <w:color w:val="000000" w:themeColor="text1"/>
          <w:sz w:val="20"/>
          <w:szCs w:val="20"/>
        </w:rPr>
        <w:t>. Régimen de funcionamiento y plazos</w:t>
      </w:r>
      <w:bookmarkEnd w:id="78"/>
    </w:p>
    <w:tbl>
      <w:tblPr>
        <w:tblStyle w:val="Tablaconcuadrcula"/>
        <w:tblW w:w="8630" w:type="dxa"/>
        <w:tblLayout w:type="fixed"/>
        <w:tblCellMar>
          <w:left w:w="90" w:type="dxa"/>
          <w:right w:w="90" w:type="dxa"/>
        </w:tblCellMar>
        <w:tblLook w:val="04A0" w:firstRow="1" w:lastRow="0" w:firstColumn="1" w:lastColumn="0" w:noHBand="0" w:noVBand="1"/>
      </w:tblPr>
      <w:tblGrid>
        <w:gridCol w:w="3114"/>
        <w:gridCol w:w="4394"/>
        <w:gridCol w:w="1122"/>
      </w:tblGrid>
      <w:tr w:rsidR="00825D4D" w:rsidRPr="0081375C" w14:paraId="43879045" w14:textId="77777777" w:rsidTr="005F4A7A">
        <w:trPr>
          <w:trHeight w:val="20"/>
        </w:trPr>
        <w:tc>
          <w:tcPr>
            <w:tcW w:w="3114" w:type="dxa"/>
            <w:vAlign w:val="center"/>
          </w:tcPr>
          <w:p w14:paraId="674DBF1A"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b/>
                <w:color w:val="000000" w:themeColor="text1"/>
                <w:sz w:val="20"/>
                <w:szCs w:val="20"/>
              </w:rPr>
              <w:t>Actividad</w:t>
            </w:r>
          </w:p>
        </w:tc>
        <w:tc>
          <w:tcPr>
            <w:tcW w:w="4394" w:type="dxa"/>
            <w:vAlign w:val="center"/>
          </w:tcPr>
          <w:p w14:paraId="2CA9468D"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b/>
                <w:color w:val="000000" w:themeColor="text1"/>
                <w:sz w:val="20"/>
                <w:szCs w:val="20"/>
              </w:rPr>
              <w:t>Periodicidad / Plazo</w:t>
            </w:r>
          </w:p>
        </w:tc>
        <w:tc>
          <w:tcPr>
            <w:tcW w:w="1122" w:type="dxa"/>
            <w:vAlign w:val="center"/>
          </w:tcPr>
          <w:p w14:paraId="75045D98"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b/>
                <w:color w:val="000000" w:themeColor="text1"/>
                <w:sz w:val="20"/>
                <w:szCs w:val="20"/>
              </w:rPr>
              <w:t>Producto</w:t>
            </w:r>
          </w:p>
        </w:tc>
      </w:tr>
      <w:tr w:rsidR="00825D4D" w:rsidRPr="0081375C" w14:paraId="23E210DA" w14:textId="77777777" w:rsidTr="005F4A7A">
        <w:trPr>
          <w:trHeight w:val="20"/>
        </w:trPr>
        <w:tc>
          <w:tcPr>
            <w:tcW w:w="3114" w:type="dxa"/>
            <w:vAlign w:val="center"/>
          </w:tcPr>
          <w:p w14:paraId="42B6913D"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Sesiones Ordinarias (durante la fase de convocatoria y hasta el cierre oficial con la formalización del último acuerdo de PSA)</w:t>
            </w:r>
          </w:p>
        </w:tc>
        <w:tc>
          <w:tcPr>
            <w:tcW w:w="4394" w:type="dxa"/>
            <w:vAlign w:val="center"/>
          </w:tcPr>
          <w:p w14:paraId="70EEB9C2" w14:textId="77777777" w:rsidR="00825D4D" w:rsidRPr="0081375C" w:rsidRDefault="00806784" w:rsidP="00F86B28">
            <w:pPr>
              <w:pStyle w:val="Prrafodelista"/>
              <w:numPr>
                <w:ilvl w:val="0"/>
                <w:numId w:val="3"/>
              </w:numPr>
              <w:spacing w:line="23" w:lineRule="atLeast"/>
              <w:contextualSpacing w:val="0"/>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Reunión de inicio de convocatoria.</w:t>
            </w:r>
          </w:p>
          <w:p w14:paraId="11593733" w14:textId="77777777" w:rsidR="00825D4D" w:rsidRPr="0081375C" w:rsidRDefault="00806784" w:rsidP="00F86B28">
            <w:pPr>
              <w:pStyle w:val="Prrafodelista"/>
              <w:numPr>
                <w:ilvl w:val="0"/>
                <w:numId w:val="3"/>
              </w:numPr>
              <w:spacing w:line="23" w:lineRule="atLeast"/>
              <w:contextualSpacing w:val="0"/>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Reunión seguimiento, una vez cada quince (15) días, durante la fase de convocatoria.</w:t>
            </w:r>
          </w:p>
          <w:p w14:paraId="7B2B2A6A" w14:textId="0FA1E639" w:rsidR="00825D4D" w:rsidRPr="0081375C" w:rsidRDefault="00806784" w:rsidP="005F4A7A">
            <w:pPr>
              <w:pStyle w:val="Prrafodelista"/>
              <w:numPr>
                <w:ilvl w:val="0"/>
                <w:numId w:val="3"/>
              </w:numPr>
              <w:spacing w:line="23" w:lineRule="atLeast"/>
              <w:contextualSpacing w:val="0"/>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Reunión de cierre de convocatoria.</w:t>
            </w:r>
          </w:p>
        </w:tc>
        <w:tc>
          <w:tcPr>
            <w:tcW w:w="1122" w:type="dxa"/>
            <w:vAlign w:val="center"/>
          </w:tcPr>
          <w:p w14:paraId="42070F48"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Acta de Comité.</w:t>
            </w:r>
          </w:p>
        </w:tc>
      </w:tr>
      <w:tr w:rsidR="00825D4D" w:rsidRPr="0081375C" w14:paraId="0B04B1A1" w14:textId="77777777" w:rsidTr="005F4A7A">
        <w:trPr>
          <w:trHeight w:val="20"/>
        </w:trPr>
        <w:tc>
          <w:tcPr>
            <w:tcW w:w="3114" w:type="dxa"/>
            <w:vAlign w:val="center"/>
          </w:tcPr>
          <w:p w14:paraId="32AD50EA"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Sesiones Extraordinarias</w:t>
            </w:r>
          </w:p>
        </w:tc>
        <w:tc>
          <w:tcPr>
            <w:tcW w:w="4394" w:type="dxa"/>
            <w:vAlign w:val="center"/>
          </w:tcPr>
          <w:p w14:paraId="3E05F30E" w14:textId="56E1733A"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Cuando la urgencia de un trámite o novedad lo requiera. </w:t>
            </w:r>
          </w:p>
        </w:tc>
        <w:tc>
          <w:tcPr>
            <w:tcW w:w="1122" w:type="dxa"/>
            <w:vAlign w:val="center"/>
          </w:tcPr>
          <w:p w14:paraId="054A35F5" w14:textId="77777777" w:rsidR="00825D4D" w:rsidRPr="0081375C" w:rsidRDefault="00806784" w:rsidP="00F86B28">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Acta de Comité.</w:t>
            </w:r>
          </w:p>
        </w:tc>
      </w:tr>
    </w:tbl>
    <w:p w14:paraId="2DEC94DF" w14:textId="77777777" w:rsidR="00732668" w:rsidRPr="0081375C" w:rsidRDefault="00732668" w:rsidP="00732668">
      <w:pPr>
        <w:rPr>
          <w:rFonts w:ascii="Arial" w:hAnsi="Arial" w:cs="Arial"/>
        </w:rPr>
      </w:pPr>
    </w:p>
    <w:p w14:paraId="196BEA7C" w14:textId="12CC7A2E" w:rsidR="00825D4D" w:rsidRPr="0081375C" w:rsidRDefault="00806784" w:rsidP="005B448A">
      <w:pPr>
        <w:pStyle w:val="Default"/>
        <w:rPr>
          <w:b/>
          <w:bCs/>
          <w:sz w:val="22"/>
          <w:szCs w:val="22"/>
        </w:rPr>
      </w:pPr>
      <w:r w:rsidRPr="0081375C">
        <w:rPr>
          <w:b/>
          <w:bCs/>
          <w:sz w:val="22"/>
          <w:szCs w:val="22"/>
        </w:rPr>
        <w:t xml:space="preserve">Resolución de </w:t>
      </w:r>
      <w:r w:rsidR="00BF2E09" w:rsidRPr="0081375C">
        <w:rPr>
          <w:b/>
          <w:bCs/>
          <w:sz w:val="22"/>
          <w:szCs w:val="22"/>
        </w:rPr>
        <w:t>E</w:t>
      </w:r>
      <w:r w:rsidRPr="0081375C">
        <w:rPr>
          <w:b/>
          <w:bCs/>
          <w:sz w:val="22"/>
          <w:szCs w:val="22"/>
        </w:rPr>
        <w:t>mpates</w:t>
      </w:r>
    </w:p>
    <w:p w14:paraId="7B77979E" w14:textId="77777777" w:rsidR="00732668" w:rsidRPr="0081375C" w:rsidRDefault="00732668" w:rsidP="00732668">
      <w:pPr>
        <w:rPr>
          <w:rFonts w:ascii="Arial" w:hAnsi="Arial" w:cs="Arial"/>
        </w:rPr>
      </w:pPr>
    </w:p>
    <w:p w14:paraId="5487C75F" w14:textId="77777777"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En el evento de presentarse un empate en la votación de los miembros permanentes sobre la viabilidad de un predio o la sanción de un beneficiario, se procederá de la siguiente manera:</w:t>
      </w:r>
    </w:p>
    <w:p w14:paraId="6A032572" w14:textId="77777777" w:rsidR="00AB5232" w:rsidRPr="0081375C" w:rsidRDefault="00AB5232" w:rsidP="003F6B53">
      <w:pPr>
        <w:pStyle w:val="Prrafodelista"/>
        <w:spacing w:line="23" w:lineRule="atLeast"/>
        <w:ind w:left="0"/>
        <w:contextualSpacing w:val="0"/>
        <w:jc w:val="both"/>
        <w:rPr>
          <w:rFonts w:ascii="Arial" w:eastAsia="Aptos" w:hAnsi="Arial" w:cs="Arial"/>
          <w:color w:val="000000" w:themeColor="text1"/>
        </w:rPr>
      </w:pPr>
    </w:p>
    <w:p w14:paraId="122843ED" w14:textId="77777777" w:rsidR="00825D4D" w:rsidRPr="0081375C" w:rsidRDefault="00806784" w:rsidP="003F6B53">
      <w:pPr>
        <w:pStyle w:val="Prrafodelista"/>
        <w:spacing w:line="23" w:lineRule="atLeast"/>
        <w:ind w:left="0"/>
        <w:contextualSpacing w:val="0"/>
        <w:jc w:val="both"/>
        <w:rPr>
          <w:rFonts w:ascii="Arial" w:eastAsia="Aptos" w:hAnsi="Arial" w:cs="Arial"/>
          <w:color w:val="000000" w:themeColor="text1"/>
        </w:rPr>
      </w:pPr>
      <w:r w:rsidRPr="0081375C">
        <w:rPr>
          <w:rFonts w:ascii="Arial" w:eastAsia="Aptos" w:hAnsi="Arial" w:cs="Arial"/>
          <w:color w:val="000000" w:themeColor="text1"/>
        </w:rPr>
        <w:t>La decisión final será tomada por el Coordinador(a) del Programa PSA, quien ostenta la responsabilidad de cumplimiento de metas y ejecución presupuestal del Distrito, fundamentando su decisión en el principio de "Eficacia de la Gestión Pública".</w:t>
      </w:r>
    </w:p>
    <w:p w14:paraId="69566530" w14:textId="77777777" w:rsidR="005F4A7A" w:rsidRPr="0081375C" w:rsidRDefault="005F4A7A" w:rsidP="003F6B53">
      <w:pPr>
        <w:pStyle w:val="Prrafodelista"/>
        <w:spacing w:line="23" w:lineRule="atLeast"/>
        <w:ind w:left="0"/>
        <w:contextualSpacing w:val="0"/>
        <w:jc w:val="both"/>
        <w:rPr>
          <w:rFonts w:ascii="Arial" w:eastAsia="Aptos" w:hAnsi="Arial" w:cs="Arial"/>
          <w:color w:val="000000" w:themeColor="text1"/>
        </w:rPr>
      </w:pPr>
    </w:p>
    <w:p w14:paraId="665A4262" w14:textId="77777777" w:rsidR="005F4A7A" w:rsidRPr="0081375C" w:rsidRDefault="005F4A7A" w:rsidP="003F6B53">
      <w:pPr>
        <w:pStyle w:val="Prrafodelista"/>
        <w:spacing w:line="23" w:lineRule="atLeast"/>
        <w:ind w:left="0"/>
        <w:contextualSpacing w:val="0"/>
        <w:jc w:val="both"/>
        <w:rPr>
          <w:rFonts w:ascii="Arial" w:eastAsia="Aptos" w:hAnsi="Arial" w:cs="Arial"/>
          <w:color w:val="000000" w:themeColor="text1"/>
        </w:rPr>
      </w:pPr>
    </w:p>
    <w:p w14:paraId="2DC29744" w14:textId="7BFD39F0"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79" w:name="_Toc233304185"/>
      <w:r w:rsidRPr="0081375C">
        <w:rPr>
          <w:color w:val="000000" w:themeColor="text1"/>
          <w:lang w:val="es-CO"/>
        </w:rPr>
        <w:t xml:space="preserve">Formalización de </w:t>
      </w:r>
      <w:r w:rsidR="00BF2E09" w:rsidRPr="0081375C">
        <w:rPr>
          <w:color w:val="000000" w:themeColor="text1"/>
          <w:lang w:val="es-CO"/>
        </w:rPr>
        <w:t>A</w:t>
      </w:r>
      <w:r w:rsidRPr="0081375C">
        <w:rPr>
          <w:color w:val="000000" w:themeColor="text1"/>
          <w:lang w:val="es-CO"/>
        </w:rPr>
        <w:t>cuerdos</w:t>
      </w:r>
      <w:bookmarkEnd w:id="76"/>
      <w:bookmarkEnd w:id="79"/>
    </w:p>
    <w:p w14:paraId="4E0EAB99" w14:textId="77777777" w:rsidR="00AB5232" w:rsidRPr="0081375C" w:rsidRDefault="00AB5232" w:rsidP="00AB5232">
      <w:pPr>
        <w:rPr>
          <w:rFonts w:ascii="Arial" w:hAnsi="Arial" w:cs="Arial"/>
        </w:rPr>
      </w:pPr>
    </w:p>
    <w:p w14:paraId="28497084" w14:textId="29F90CDF"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formalización suscribe el acuerdo de pago entre el beneficiario y la Secretaría de Medio Ambiente del Distrito, convirtiendo la selección en una relación jurídica exigible que activa toda la cadena de ejecución. El instrumento es el </w:t>
      </w:r>
      <w:r w:rsidR="5C702A19" w:rsidRPr="0081375C">
        <w:rPr>
          <w:rFonts w:ascii="Arial" w:eastAsia="Arial" w:hAnsi="Arial" w:cs="Arial"/>
          <w:b/>
          <w:bCs/>
          <w:i/>
          <w:iCs/>
          <w:color w:val="000000" w:themeColor="text1"/>
        </w:rPr>
        <w:t xml:space="preserve">FO-GEAM Acuerdo de Pago por Servicios Ambientales Hídricos </w:t>
      </w:r>
      <w:r w:rsidR="5C702A19" w:rsidRPr="0081375C">
        <w:rPr>
          <w:rFonts w:ascii="Arial" w:eastAsia="Arial" w:hAnsi="Arial" w:cs="Arial"/>
          <w:color w:val="000000" w:themeColor="text1"/>
        </w:rPr>
        <w:t xml:space="preserve">y </w:t>
      </w:r>
      <w:r w:rsidR="3F763153" w:rsidRPr="0081375C">
        <w:rPr>
          <w:rFonts w:ascii="Arial" w:eastAsia="Arial" w:hAnsi="Arial" w:cs="Arial"/>
          <w:b/>
          <w:bCs/>
          <w:i/>
          <w:iCs/>
          <w:color w:val="000000" w:themeColor="text1"/>
        </w:rPr>
        <w:t xml:space="preserve">FO-GEAM Acuerdo de Pago por Servicios Ambientales </w:t>
      </w:r>
      <w:r w:rsidR="5C702A19" w:rsidRPr="0081375C">
        <w:rPr>
          <w:rFonts w:ascii="Arial" w:eastAsia="Arial" w:hAnsi="Arial" w:cs="Arial"/>
          <w:b/>
          <w:bCs/>
          <w:i/>
          <w:iCs/>
          <w:color w:val="000000" w:themeColor="text1"/>
        </w:rPr>
        <w:t>por conservación de la Biodiversidad</w:t>
      </w:r>
      <w:r w:rsidR="5C702A19" w:rsidRPr="0081375C">
        <w:rPr>
          <w:rFonts w:ascii="Arial" w:eastAsia="Arial" w:hAnsi="Arial" w:cs="Arial"/>
          <w:color w:val="000000" w:themeColor="text1"/>
        </w:rPr>
        <w:t>.</w:t>
      </w:r>
      <w:r w:rsidRPr="0081375C">
        <w:rPr>
          <w:rFonts w:ascii="Arial" w:eastAsia="Arial" w:hAnsi="Arial" w:cs="Arial"/>
          <w:color w:val="000000" w:themeColor="text1"/>
        </w:rPr>
        <w:t xml:space="preserve"> Sin acuerdo firmado no existe obligación reconocible ni reconocimiento del incentivo.</w:t>
      </w:r>
    </w:p>
    <w:p w14:paraId="7BEA9210" w14:textId="77777777" w:rsidR="00AB5232" w:rsidRPr="0081375C" w:rsidRDefault="00AB5232" w:rsidP="003F6B53">
      <w:pPr>
        <w:spacing w:line="23" w:lineRule="atLeast"/>
        <w:jc w:val="both"/>
        <w:rPr>
          <w:rFonts w:ascii="Arial" w:eastAsia="Aptos" w:hAnsi="Arial" w:cs="Arial"/>
          <w:color w:val="000000" w:themeColor="text1"/>
        </w:rPr>
      </w:pPr>
    </w:p>
    <w:p w14:paraId="246E383E"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proceso se organiza en torno a tres plazos operativos controlables por el equipo, con una pausa intermedia cuya duración depende de instancias externas.</w:t>
      </w:r>
    </w:p>
    <w:p w14:paraId="1FF0F8EE" w14:textId="77777777" w:rsidR="00AB5232" w:rsidRPr="0081375C" w:rsidRDefault="00AB5232" w:rsidP="003F6B53">
      <w:pPr>
        <w:spacing w:line="23" w:lineRule="atLeast"/>
        <w:jc w:val="both"/>
        <w:rPr>
          <w:rFonts w:ascii="Arial" w:eastAsia="Arial" w:hAnsi="Arial" w:cs="Arial"/>
          <w:color w:val="000000" w:themeColor="text1"/>
        </w:rPr>
      </w:pPr>
    </w:p>
    <w:p w14:paraId="70E51A0F" w14:textId="14F74355" w:rsidR="00AB5232" w:rsidRPr="0081375C" w:rsidRDefault="00AB5232" w:rsidP="00AB5232">
      <w:pPr>
        <w:spacing w:line="23" w:lineRule="atLeast"/>
        <w:mirrorIndents/>
        <w:jc w:val="both"/>
        <w:rPr>
          <w:rFonts w:ascii="Arial" w:eastAsia="Arial" w:hAnsi="Arial" w:cs="Arial"/>
          <w:b/>
          <w:bCs/>
          <w:color w:val="000000" w:themeColor="text1"/>
          <w:sz w:val="20"/>
          <w:szCs w:val="20"/>
        </w:rPr>
      </w:pPr>
      <w:bookmarkStart w:id="80" w:name="_Toc233040676"/>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28</w:t>
      </w:r>
      <w:r w:rsidRPr="0081375C">
        <w:rPr>
          <w:rFonts w:ascii="Arial" w:hAnsi="Arial" w:cs="Arial"/>
          <w:b/>
          <w:bCs/>
          <w:color w:val="000000" w:themeColor="text1"/>
          <w:sz w:val="20"/>
          <w:szCs w:val="20"/>
        </w:rPr>
        <w:fldChar w:fldCharType="end"/>
      </w:r>
      <w:r w:rsidRPr="0081375C">
        <w:rPr>
          <w:rFonts w:ascii="Arial" w:eastAsia="Arial" w:hAnsi="Arial" w:cs="Arial"/>
          <w:b/>
          <w:bCs/>
          <w:color w:val="000000" w:themeColor="text1"/>
          <w:sz w:val="20"/>
          <w:szCs w:val="20"/>
        </w:rPr>
        <w:t>. Cronograma formalización de acuerdos</w:t>
      </w:r>
      <w:bookmarkEnd w:id="80"/>
    </w:p>
    <w:tbl>
      <w:tblPr>
        <w:tblW w:w="8611" w:type="dxa"/>
        <w:tblLayout w:type="fixed"/>
        <w:tblCellMar>
          <w:left w:w="7" w:type="dxa"/>
          <w:right w:w="7" w:type="dxa"/>
        </w:tblCellMar>
        <w:tblLook w:val="04A0" w:firstRow="1" w:lastRow="0" w:firstColumn="1" w:lastColumn="0" w:noHBand="0" w:noVBand="1"/>
      </w:tblPr>
      <w:tblGrid>
        <w:gridCol w:w="4245"/>
        <w:gridCol w:w="2268"/>
        <w:gridCol w:w="2098"/>
      </w:tblGrid>
      <w:tr w:rsidR="00825D4D" w:rsidRPr="0081375C" w14:paraId="1B276A4B" w14:textId="77777777" w:rsidTr="729FED67">
        <w:trPr>
          <w:trHeight w:val="20"/>
          <w:tblHeader/>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E5976C" w14:textId="6E8DCCB7"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Hito</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EEE1AE" w14:textId="50F37F3E"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Plazo</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5482B6" w14:textId="2865439E"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b/>
                <w:bCs/>
                <w:color w:val="000000" w:themeColor="text1"/>
                <w:sz w:val="20"/>
                <w:szCs w:val="20"/>
              </w:rPr>
              <w:t>Responsable</w:t>
            </w:r>
          </w:p>
        </w:tc>
      </w:tr>
      <w:tr w:rsidR="00825D4D" w:rsidRPr="0081375C" w14:paraId="76BDB928"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25817B" w14:textId="3E00B360"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Notificación al postulante e información del plazo de </w:t>
            </w:r>
            <w:r w:rsidR="6FA25C72" w:rsidRPr="0081375C">
              <w:rPr>
                <w:rFonts w:ascii="Arial" w:eastAsia="Arial" w:hAnsi="Arial" w:cs="Arial"/>
                <w:color w:val="000000" w:themeColor="text1"/>
                <w:sz w:val="20"/>
                <w:szCs w:val="20"/>
              </w:rPr>
              <w:t>entrega de</w:t>
            </w:r>
            <w:r w:rsidR="53ABCE9C"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documentación</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E53B68" w14:textId="58AB8F5C"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 0</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24B198" w14:textId="48A79E47"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Equipo operador</w:t>
            </w:r>
          </w:p>
        </w:tc>
      </w:tr>
      <w:tr w:rsidR="00825D4D" w:rsidRPr="0081375C" w14:paraId="65F9BF6E"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75226C" w14:textId="616FEC2C"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Plazo del postulante para aportar documentación previa</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B682D9" w14:textId="37CAF407"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1–5;</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C66ABD" w14:textId="0CF6089C"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Postulante</w:t>
            </w:r>
          </w:p>
        </w:tc>
      </w:tr>
      <w:tr w:rsidR="00825D4D" w:rsidRPr="0081375C" w14:paraId="405F6697"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31D8F2" w14:textId="4E601BF0"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Proyección de</w:t>
            </w:r>
            <w:r w:rsidR="00F7757F"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los acuerdos</w:t>
            </w:r>
            <w:r w:rsidR="5CC07FF3" w:rsidRPr="0081375C">
              <w:rPr>
                <w:rFonts w:ascii="Arial" w:eastAsia="Arial" w:hAnsi="Arial" w:cs="Arial"/>
                <w:color w:val="000000" w:themeColor="text1"/>
                <w:sz w:val="20"/>
                <w:szCs w:val="20"/>
              </w:rPr>
              <w:t xml:space="preserve"> de PSA</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5C8AAA" w14:textId="49686D28"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6–10</w:t>
            </w:r>
            <w:r w:rsidR="00F7757F"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hábi</w:t>
            </w:r>
            <w:r w:rsidR="00F7757F" w:rsidRPr="0081375C">
              <w:rPr>
                <w:rFonts w:ascii="Arial" w:eastAsia="Arial" w:hAnsi="Arial" w:cs="Arial"/>
                <w:color w:val="000000" w:themeColor="text1"/>
                <w:sz w:val="20"/>
                <w:szCs w:val="20"/>
              </w:rPr>
              <w:t>l</w:t>
            </w:r>
            <w:r w:rsidRPr="0081375C">
              <w:rPr>
                <w:rFonts w:ascii="Arial" w:eastAsia="Arial" w:hAnsi="Arial" w:cs="Arial"/>
                <w:color w:val="000000" w:themeColor="text1"/>
                <w:sz w:val="20"/>
                <w:szCs w:val="20"/>
              </w:rPr>
              <w:t>es desde documentación completa</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4071ED" w14:textId="54C27551"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Equipo operador</w:t>
            </w:r>
          </w:p>
        </w:tc>
      </w:tr>
      <w:tr w:rsidR="00825D4D" w:rsidRPr="0081375C" w14:paraId="67D0613B"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EF925D" w14:textId="431B74AD"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Revisión del acuerdo proyectado por la Secretaría</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CEB5A7" w14:textId="0F57D8EF"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Sin plazo definido</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1BA687" w14:textId="3829F243"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Secretaría de Medio Ambiente</w:t>
            </w:r>
          </w:p>
        </w:tc>
      </w:tr>
      <w:tr w:rsidR="00825D4D" w:rsidRPr="0081375C" w14:paraId="24AB7517"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2F0C9E" w14:textId="3C3FB8FA"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Plazo del postulante para firmar tras recibir el acuerdo revisado</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03F0B9" w14:textId="6CE5F901"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u w:val="single"/>
              </w:rPr>
              <w:t>3 </w:t>
            </w:r>
            <w:r w:rsidRPr="0081375C">
              <w:rPr>
                <w:rFonts w:ascii="Arial" w:eastAsia="Arial" w:hAnsi="Arial" w:cs="Arial"/>
                <w:color w:val="000000" w:themeColor="text1"/>
                <w:sz w:val="20"/>
                <w:szCs w:val="20"/>
              </w:rPr>
              <w:t>días hábiles desde entrega</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36D58D" w14:textId="11A055F0"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Postulante</w:t>
            </w:r>
          </w:p>
        </w:tc>
      </w:tr>
      <w:tr w:rsidR="00825D4D" w:rsidRPr="0081375C" w14:paraId="356A3536"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B7B85D" w14:textId="74378A6B"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Aprobación y</w:t>
            </w:r>
            <w:r w:rsidR="00F7757F"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Firmas</w:t>
            </w:r>
            <w:r w:rsidR="00F7757F"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del equipo de la secretaria</w:t>
            </w:r>
            <w:r w:rsidR="00F7757F" w:rsidRPr="0081375C">
              <w:rPr>
                <w:rFonts w:ascii="Arial" w:eastAsia="Arial" w:hAnsi="Arial" w:cs="Arial"/>
                <w:color w:val="000000" w:themeColor="text1"/>
                <w:sz w:val="20"/>
                <w:szCs w:val="20"/>
              </w:rPr>
              <w:t xml:space="preserve"> </w:t>
            </w:r>
            <w:r w:rsidRPr="0081375C">
              <w:rPr>
                <w:rFonts w:ascii="Arial" w:eastAsia="Arial" w:hAnsi="Arial" w:cs="Arial"/>
                <w:color w:val="000000" w:themeColor="text1"/>
                <w:sz w:val="20"/>
                <w:szCs w:val="20"/>
              </w:rPr>
              <w:t>Medio Ambiente</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28ACCB" w14:textId="5557CE91"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Posterior a firma del postulante</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799587" w14:textId="249C7ADA"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Secretaría Medio Ambiente</w:t>
            </w:r>
          </w:p>
        </w:tc>
      </w:tr>
      <w:tr w:rsidR="00825D4D" w:rsidRPr="0081375C" w14:paraId="0DD4D64A" w14:textId="77777777" w:rsidTr="729FED67">
        <w:trPr>
          <w:trHeight w:val="20"/>
        </w:trPr>
        <w:tc>
          <w:tcPr>
            <w:tcW w:w="42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8828F1" w14:textId="2221BF6F"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Archivo del acuerdo suscrito</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977499" w14:textId="03B9CEAF"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Inmediato tras firma</w:t>
            </w:r>
          </w:p>
        </w:tc>
        <w:tc>
          <w:tcPr>
            <w:tcW w:w="20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61039F" w14:textId="0A3ABC63" w:rsidR="00825D4D" w:rsidRPr="0081375C" w:rsidRDefault="00806784" w:rsidP="00B31E48">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Equipo operador</w:t>
            </w:r>
          </w:p>
        </w:tc>
      </w:tr>
    </w:tbl>
    <w:p w14:paraId="6CE8EA38" w14:textId="77777777" w:rsidR="00AB5232" w:rsidRPr="0081375C" w:rsidRDefault="00AB5232" w:rsidP="003F6B53">
      <w:pPr>
        <w:spacing w:line="23" w:lineRule="atLeast"/>
        <w:jc w:val="both"/>
        <w:rPr>
          <w:rFonts w:ascii="Arial" w:eastAsia="Arial" w:hAnsi="Arial" w:cs="Arial"/>
          <w:color w:val="000000" w:themeColor="text1"/>
        </w:rPr>
      </w:pPr>
    </w:p>
    <w:p w14:paraId="107BBC5B" w14:textId="52542DF5"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Una vez notificada la selección, el equipo comunica al postulante el plazo de cinco días hábiles para aportar la documentación correspondiente: documento de identidad, declaración juramentada para efectos tributarios o RUT (persona natural), certificado de cuenta bancaria, formato de autorización de imagen, formato de tratamiento de datos personales</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y</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recibo de pago del impuesto predial del trimestre vencido o acuerdo de facilidad de pago vigente con la Subsecretaría de Tesorería.</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En el expediente del postulante</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se deben adjuntar</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la postulación original y sus documentos anexos.</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El requisito de pago del impuesto predial, que fue informada al postulante en el momento de la radicación, se vuelve exigible aquí. </w:t>
      </w:r>
    </w:p>
    <w:p w14:paraId="299ADA7A" w14:textId="77777777" w:rsidR="00AB5232" w:rsidRPr="0081375C" w:rsidRDefault="00AB5232" w:rsidP="003F6B53">
      <w:pPr>
        <w:spacing w:line="23" w:lineRule="atLeast"/>
        <w:jc w:val="both"/>
        <w:rPr>
          <w:rFonts w:ascii="Arial" w:eastAsia="Arial" w:hAnsi="Arial" w:cs="Arial"/>
          <w:color w:val="000000" w:themeColor="text1"/>
        </w:rPr>
      </w:pPr>
    </w:p>
    <w:p w14:paraId="6B4994DD" w14:textId="59E8FA3F"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Recibida la documentación completa, el equipo proyecta el</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acuerdo</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dentro de los cinco días hábiles siguientes, incorporando el valor del incentivo, el plan de pagos, las obligaciones de las partes, las causales de suspensión, las acciones por incumplimiento y el término de duración. El acuerdo proyectado se remite a la Secretaría</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 xml:space="preserve">de Medio </w:t>
      </w:r>
      <w:r w:rsidRPr="0081375C">
        <w:rPr>
          <w:rFonts w:ascii="Arial" w:eastAsia="Arial" w:hAnsi="Arial" w:cs="Arial"/>
          <w:color w:val="000000" w:themeColor="text1"/>
        </w:rPr>
        <w:lastRenderedPageBreak/>
        <w:t>Ambiente</w:t>
      </w:r>
      <w:r w:rsidR="00F7757F" w:rsidRPr="0081375C">
        <w:rPr>
          <w:rFonts w:ascii="Arial" w:eastAsia="Arial" w:hAnsi="Arial" w:cs="Arial"/>
          <w:color w:val="000000" w:themeColor="text1"/>
        </w:rPr>
        <w:t xml:space="preserve"> </w:t>
      </w:r>
      <w:r w:rsidRPr="0081375C">
        <w:rPr>
          <w:rFonts w:ascii="Arial" w:eastAsia="Arial" w:hAnsi="Arial" w:cs="Arial"/>
          <w:color w:val="000000" w:themeColor="text1"/>
        </w:rPr>
        <w:t xml:space="preserve">para revisión; el plazo de esa revisión es intencionalmente indefinido, ya que depende de instancias jerárquicas externas al control del equipo operador. Recibido el acuerdo revisado, se gestiona la firma del postulante o su apoderado dentro de los cinco </w:t>
      </w:r>
      <w:r w:rsidR="00CF112F" w:rsidRPr="0081375C">
        <w:rPr>
          <w:rFonts w:ascii="Arial" w:eastAsia="Arial" w:hAnsi="Arial" w:cs="Arial"/>
          <w:color w:val="000000" w:themeColor="text1"/>
        </w:rPr>
        <w:t xml:space="preserve">(5) </w:t>
      </w:r>
      <w:r w:rsidRPr="0081375C">
        <w:rPr>
          <w:rFonts w:ascii="Arial" w:eastAsia="Arial" w:hAnsi="Arial" w:cs="Arial"/>
          <w:color w:val="000000" w:themeColor="text1"/>
        </w:rPr>
        <w:t>días hábiles siguientes, y finalmente la firma del secretario(a) de Medio Ambiente. El acuerdo suscrito se archiva e incorpora al registro del predio.</w:t>
      </w:r>
    </w:p>
    <w:p w14:paraId="3A29F4AF" w14:textId="77777777" w:rsidR="004A6A68" w:rsidRPr="0081375C" w:rsidRDefault="004A6A68" w:rsidP="003F6B53">
      <w:pPr>
        <w:spacing w:line="23" w:lineRule="atLeast"/>
        <w:jc w:val="both"/>
        <w:rPr>
          <w:rFonts w:ascii="Arial" w:eastAsia="Arial" w:hAnsi="Arial" w:cs="Arial"/>
          <w:color w:val="000000" w:themeColor="text1"/>
        </w:rPr>
      </w:pPr>
    </w:p>
    <w:p w14:paraId="316DCCA7" w14:textId="4A51AD3A" w:rsidR="004A6A68" w:rsidRPr="0081375C" w:rsidRDefault="004A6A68" w:rsidP="004A6A68">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acuerdo suscrito es la condición habilitante para cualquier actividad de ejecución. Las acciones de implementación, seguimiento y reconocimiento del incentivo solo pueden operar sobre predios con un acuerdo válido firmado por ambas partes.</w:t>
      </w:r>
    </w:p>
    <w:p w14:paraId="35353A41" w14:textId="77777777" w:rsidR="00AB5232" w:rsidRPr="0081375C" w:rsidRDefault="00AB5232" w:rsidP="003F6B53">
      <w:pPr>
        <w:spacing w:line="23" w:lineRule="atLeast"/>
        <w:jc w:val="both"/>
        <w:rPr>
          <w:rFonts w:ascii="Arial" w:eastAsia="Arial" w:hAnsi="Arial" w:cs="Arial"/>
          <w:color w:val="000000" w:themeColor="text1"/>
        </w:rPr>
      </w:pPr>
    </w:p>
    <w:p w14:paraId="00E0C2B9" w14:textId="53D323D5" w:rsidR="00825D4D" w:rsidRPr="0081375C" w:rsidRDefault="00806784" w:rsidP="00E02CFB">
      <w:pPr>
        <w:pStyle w:val="Ttulo3"/>
        <w:numPr>
          <w:ilvl w:val="2"/>
          <w:numId w:val="27"/>
        </w:numPr>
        <w:spacing w:beforeAutospacing="0" w:afterAutospacing="0" w:line="23" w:lineRule="atLeast"/>
        <w:rPr>
          <w:color w:val="000000" w:themeColor="text1"/>
          <w:lang w:val="es-CO"/>
        </w:rPr>
      </w:pPr>
      <w:bookmarkStart w:id="81" w:name="_Toc233304186"/>
      <w:r w:rsidRPr="0081375C">
        <w:rPr>
          <w:color w:val="000000" w:themeColor="text1"/>
          <w:lang w:val="es-CO"/>
        </w:rPr>
        <w:t xml:space="preserve">Cálculo del </w:t>
      </w:r>
      <w:r w:rsidR="00041117" w:rsidRPr="0081375C">
        <w:rPr>
          <w:color w:val="000000" w:themeColor="text1"/>
          <w:lang w:val="es-CO"/>
        </w:rPr>
        <w:t>V</w:t>
      </w:r>
      <w:r w:rsidRPr="0081375C">
        <w:rPr>
          <w:color w:val="000000" w:themeColor="text1"/>
          <w:lang w:val="es-CO"/>
        </w:rPr>
        <w:t xml:space="preserve">alor del </w:t>
      </w:r>
      <w:r w:rsidR="00041117" w:rsidRPr="0081375C">
        <w:rPr>
          <w:color w:val="000000" w:themeColor="text1"/>
          <w:lang w:val="es-CO"/>
        </w:rPr>
        <w:t>I</w:t>
      </w:r>
      <w:r w:rsidRPr="0081375C">
        <w:rPr>
          <w:color w:val="000000" w:themeColor="text1"/>
          <w:lang w:val="es-CO"/>
        </w:rPr>
        <w:t>ncentivo</w:t>
      </w:r>
      <w:bookmarkEnd w:id="81"/>
    </w:p>
    <w:p w14:paraId="499ADDFE" w14:textId="77777777" w:rsidR="00825D4D" w:rsidRPr="0081375C" w:rsidRDefault="00825D4D" w:rsidP="003F6B53">
      <w:pPr>
        <w:spacing w:line="23" w:lineRule="atLeast"/>
        <w:jc w:val="both"/>
        <w:rPr>
          <w:rFonts w:ascii="Arial" w:hAnsi="Arial" w:cs="Arial"/>
          <w:color w:val="000000" w:themeColor="text1"/>
        </w:rPr>
      </w:pPr>
    </w:p>
    <w:p w14:paraId="0C6BEF6D" w14:textId="397B2D02"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cálculo del valor del incentivo determina el monto contractual que se incorporará al acuerdo de pago por cada predio seleccionado. Se realiza a partir de la lista de seleccionados y del mapa final de acciones, aplicando las ecuaciones y valores unitarios del Decreto </w:t>
      </w:r>
      <w:r w:rsidR="0080378B" w:rsidRPr="0081375C">
        <w:rPr>
          <w:rFonts w:ascii="Arial" w:eastAsia="Arial" w:hAnsi="Arial" w:cs="Arial"/>
          <w:color w:val="000000" w:themeColor="text1"/>
        </w:rPr>
        <w:t>774</w:t>
      </w:r>
      <w:r w:rsidRPr="0081375C">
        <w:rPr>
          <w:rFonts w:ascii="Arial" w:eastAsia="Arial" w:hAnsi="Arial" w:cs="Arial"/>
          <w:color w:val="000000" w:themeColor="text1"/>
        </w:rPr>
        <w:t xml:space="preserve"> de 202</w:t>
      </w:r>
      <w:r w:rsidR="0080378B" w:rsidRPr="0081375C">
        <w:rPr>
          <w:rFonts w:ascii="Arial" w:eastAsia="Arial" w:hAnsi="Arial" w:cs="Arial"/>
          <w:color w:val="000000" w:themeColor="text1"/>
        </w:rPr>
        <w:t>4</w:t>
      </w:r>
      <w:r w:rsidRPr="0081375C">
        <w:rPr>
          <w:rFonts w:ascii="Arial" w:eastAsia="Arial" w:hAnsi="Arial" w:cs="Arial"/>
          <w:color w:val="000000" w:themeColor="text1"/>
        </w:rPr>
        <w:t xml:space="preserve"> (Artículo </w:t>
      </w:r>
      <w:bookmarkStart w:id="82" w:name="2.4.1.11"/>
      <w:r w:rsidR="0080378B" w:rsidRPr="0081375C">
        <w:rPr>
          <w:rFonts w:ascii="Arial" w:eastAsia="Arial" w:hAnsi="Arial" w:cs="Arial"/>
          <w:color w:val="000000" w:themeColor="text1"/>
        </w:rPr>
        <w:t>2.4.1.11</w:t>
      </w:r>
      <w:bookmarkEnd w:id="82"/>
      <w:r w:rsidRPr="0081375C">
        <w:rPr>
          <w:rFonts w:ascii="Arial" w:eastAsia="Arial" w:hAnsi="Arial" w:cs="Arial"/>
          <w:color w:val="000000" w:themeColor="text1"/>
        </w:rPr>
        <w:t xml:space="preserve"> y Tabla 1) o de la resolución de actualización vigente para el ciclo en curso. Los valores unitarios se actualizan anualmente por IPC en los dos primeros meses de cada anualidad; si la resolución de actualización no ha sido expedida al inicio del cálculo, no puede procederse.</w:t>
      </w:r>
    </w:p>
    <w:p w14:paraId="215D26BA" w14:textId="77777777" w:rsidR="00AB5232" w:rsidRPr="0081375C" w:rsidRDefault="00AB5232" w:rsidP="003F6B53">
      <w:pPr>
        <w:spacing w:line="23" w:lineRule="atLeast"/>
        <w:jc w:val="both"/>
        <w:rPr>
          <w:rFonts w:ascii="Arial" w:eastAsia="Arial" w:hAnsi="Arial" w:cs="Arial"/>
          <w:color w:val="000000" w:themeColor="text1"/>
        </w:rPr>
      </w:pPr>
    </w:p>
    <w:p w14:paraId="23CCE9B6" w14:textId="3A2939B8"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Antes de calcular, se verifican dos condiciones de exclusión. La primera es que las áreas a restaurar deben acreditar que no estuvieron cubiertas de ecosistemas naturales en los últimos tres años; si no se acredita, esas áreas se excluyen del componente de restauración. Además, no se reconoce incentivo sobre áreas que correspondan al cumplimiento de obligaciones con la autoridad ambiental u otra entidad; esas áreas se excluyen del cálculo. Cuando un mismo predio tiene áreas con servicios ambientales concurrentes de distintas modalidades PSA, se reconoce el incentivo por una única modalidad; la modalidad aplicable se define antes de calcular.</w:t>
      </w:r>
    </w:p>
    <w:p w14:paraId="14856C65" w14:textId="77777777" w:rsidR="00AB5232" w:rsidRPr="0081375C" w:rsidRDefault="00AB5232" w:rsidP="003F6B53">
      <w:pPr>
        <w:spacing w:line="23" w:lineRule="atLeast"/>
        <w:jc w:val="both"/>
        <w:rPr>
          <w:rFonts w:ascii="Arial" w:eastAsia="Arial" w:hAnsi="Arial" w:cs="Arial"/>
          <w:color w:val="000000" w:themeColor="text1"/>
        </w:rPr>
      </w:pPr>
    </w:p>
    <w:p w14:paraId="2763A6E5"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incentivo se calcula de forma separada para las acciones de preservación y de restauración, y luego se suman para obtener el valor total por predio.</w:t>
      </w:r>
    </w:p>
    <w:p w14:paraId="4A296DFF" w14:textId="77777777" w:rsidR="00AB5232" w:rsidRPr="0081375C" w:rsidRDefault="00AB5232" w:rsidP="003F6B53">
      <w:pPr>
        <w:spacing w:line="23" w:lineRule="atLeast"/>
        <w:jc w:val="both"/>
        <w:rPr>
          <w:rFonts w:ascii="Arial" w:eastAsia="Arial" w:hAnsi="Arial" w:cs="Arial"/>
          <w:color w:val="000000" w:themeColor="text1"/>
        </w:rPr>
      </w:pPr>
    </w:p>
    <w:p w14:paraId="5158BC5E"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Para la preservación, el valor se determina con la ecuación:</w:t>
      </w:r>
    </w:p>
    <w:p w14:paraId="33FFFF83" w14:textId="77777777" w:rsidR="00AB5232" w:rsidRPr="0081375C" w:rsidRDefault="00AB5232" w:rsidP="003F6B53">
      <w:pPr>
        <w:spacing w:line="23" w:lineRule="atLeast"/>
        <w:jc w:val="both"/>
        <w:rPr>
          <w:rFonts w:ascii="Arial" w:eastAsia="Arial" w:hAnsi="Arial" w:cs="Arial"/>
          <w:color w:val="000000" w:themeColor="text1"/>
        </w:rPr>
      </w:pPr>
    </w:p>
    <w:p w14:paraId="18439237" w14:textId="0BA852A9" w:rsidR="00825D4D" w:rsidRPr="0081375C" w:rsidRDefault="00806784" w:rsidP="003F6B53">
      <w:pPr>
        <w:spacing w:line="23" w:lineRule="atLeast"/>
        <w:jc w:val="both"/>
        <w:rPr>
          <w:rFonts w:ascii="Arial" w:eastAsia="Aptos" w:hAnsi="Arial" w:cs="Arial"/>
          <w:color w:val="000000" w:themeColor="text1"/>
        </w:rPr>
      </w:pPr>
      <w:proofErr w:type="spellStart"/>
      <w:r w:rsidRPr="0081375C">
        <w:rPr>
          <w:rFonts w:ascii="Arial" w:eastAsia="Arial" w:hAnsi="Arial" w:cs="Arial"/>
          <w:color w:val="000000" w:themeColor="text1"/>
        </w:rPr>
        <w:t>VrPSAPreservación</w:t>
      </w:r>
      <w:proofErr w:type="spellEnd"/>
      <w:r w:rsidRPr="0081375C">
        <w:rPr>
          <w:rFonts w:ascii="Arial" w:eastAsia="Arial" w:hAnsi="Arial" w:cs="Arial"/>
          <w:color w:val="000000" w:themeColor="text1"/>
        </w:rPr>
        <w:t xml:space="preserve"> = [(</w:t>
      </w:r>
      <w:proofErr w:type="spellStart"/>
      <w:r w:rsidRPr="0081375C">
        <w:rPr>
          <w:rFonts w:ascii="Arial" w:eastAsia="Arial" w:hAnsi="Arial" w:cs="Arial"/>
          <w:color w:val="000000" w:themeColor="text1"/>
        </w:rPr>
        <w:t>Vrp</w:t>
      </w:r>
      <w:proofErr w:type="spellEnd"/>
      <w:r w:rsidRPr="0081375C">
        <w:rPr>
          <w:rFonts w:ascii="Arial" w:eastAsia="Arial" w:hAnsi="Arial" w:cs="Arial"/>
          <w:color w:val="000000" w:themeColor="text1"/>
        </w:rPr>
        <w:t xml:space="preserve"> × </w:t>
      </w:r>
      <w:proofErr w:type="spellStart"/>
      <w:r w:rsidRPr="0081375C">
        <w:rPr>
          <w:rFonts w:ascii="Arial" w:eastAsia="Arial" w:hAnsi="Arial" w:cs="Arial"/>
          <w:color w:val="000000" w:themeColor="text1"/>
        </w:rPr>
        <w:t>Ap</w:t>
      </w:r>
      <w:proofErr w:type="spellEnd"/>
      <w:r w:rsidRPr="0081375C">
        <w:rPr>
          <w:rFonts w:ascii="Arial" w:eastAsia="Arial" w:hAnsi="Arial" w:cs="Arial"/>
          <w:color w:val="000000" w:themeColor="text1"/>
        </w:rPr>
        <w:t xml:space="preserve">) × CE] </w:t>
      </w:r>
    </w:p>
    <w:p w14:paraId="35FD0935" w14:textId="77777777" w:rsidR="00794E99" w:rsidRPr="0081375C" w:rsidRDefault="00794E99" w:rsidP="003F6B53">
      <w:pPr>
        <w:spacing w:line="23" w:lineRule="atLeast"/>
        <w:jc w:val="both"/>
        <w:rPr>
          <w:rFonts w:ascii="Arial" w:eastAsia="Arial" w:hAnsi="Arial" w:cs="Arial"/>
          <w:color w:val="000000" w:themeColor="text1"/>
        </w:rPr>
      </w:pPr>
    </w:p>
    <w:p w14:paraId="6D379393" w14:textId="33B1759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donde </w:t>
      </w:r>
      <w:proofErr w:type="spellStart"/>
      <w:r w:rsidRPr="0081375C">
        <w:rPr>
          <w:rFonts w:ascii="Arial" w:eastAsia="Arial" w:hAnsi="Arial" w:cs="Arial"/>
          <w:color w:val="000000" w:themeColor="text1"/>
        </w:rPr>
        <w:t>Vrp</w:t>
      </w:r>
      <w:proofErr w:type="spellEnd"/>
      <w:r w:rsidRPr="0081375C">
        <w:rPr>
          <w:rFonts w:ascii="Arial" w:eastAsia="Arial" w:hAnsi="Arial" w:cs="Arial"/>
          <w:color w:val="000000" w:themeColor="text1"/>
        </w:rPr>
        <w:t xml:space="preserve"> es el valor de referencia de preservación por hectárea, </w:t>
      </w:r>
      <w:proofErr w:type="spellStart"/>
      <w:r w:rsidRPr="0081375C">
        <w:rPr>
          <w:rFonts w:ascii="Arial" w:eastAsia="Arial" w:hAnsi="Arial" w:cs="Arial"/>
          <w:color w:val="000000" w:themeColor="text1"/>
        </w:rPr>
        <w:t>Ap</w:t>
      </w:r>
      <w:proofErr w:type="spellEnd"/>
      <w:r w:rsidRPr="0081375C">
        <w:rPr>
          <w:rFonts w:ascii="Arial" w:eastAsia="Arial" w:hAnsi="Arial" w:cs="Arial"/>
          <w:color w:val="000000" w:themeColor="text1"/>
        </w:rPr>
        <w:t xml:space="preserve"> es </w:t>
      </w:r>
      <w:proofErr w:type="gramStart"/>
      <w:r w:rsidRPr="0081375C">
        <w:rPr>
          <w:rFonts w:ascii="Arial" w:eastAsia="Arial" w:hAnsi="Arial" w:cs="Arial"/>
          <w:color w:val="000000" w:themeColor="text1"/>
        </w:rPr>
        <w:t>el área a preservar</w:t>
      </w:r>
      <w:proofErr w:type="gramEnd"/>
      <w:r w:rsidRPr="0081375C">
        <w:rPr>
          <w:rFonts w:ascii="Arial" w:eastAsia="Arial" w:hAnsi="Arial" w:cs="Arial"/>
          <w:color w:val="000000" w:themeColor="text1"/>
        </w:rPr>
        <w:t>, CE es el Criterio de Eficiencia</w:t>
      </w:r>
      <w:r w:rsidR="00351328" w:rsidRPr="0081375C">
        <w:rPr>
          <w:rFonts w:ascii="Arial" w:eastAsia="Arial" w:hAnsi="Arial" w:cs="Arial"/>
          <w:color w:val="000000" w:themeColor="text1"/>
        </w:rPr>
        <w:t>.</w:t>
      </w:r>
    </w:p>
    <w:p w14:paraId="15775534" w14:textId="77777777" w:rsidR="00882F6D" w:rsidRPr="0081375C" w:rsidRDefault="00882F6D" w:rsidP="003F6B53">
      <w:pPr>
        <w:spacing w:line="23" w:lineRule="atLeast"/>
        <w:jc w:val="both"/>
        <w:rPr>
          <w:rFonts w:ascii="Arial" w:eastAsia="Aptos" w:hAnsi="Arial" w:cs="Arial"/>
          <w:color w:val="000000" w:themeColor="text1"/>
        </w:rPr>
      </w:pPr>
    </w:p>
    <w:p w14:paraId="1F5BBEB2"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Para la restauración:</w:t>
      </w:r>
    </w:p>
    <w:p w14:paraId="5DCFD281" w14:textId="77777777" w:rsidR="00882F6D" w:rsidRPr="0081375C" w:rsidRDefault="00882F6D" w:rsidP="003F6B53">
      <w:pPr>
        <w:spacing w:line="23" w:lineRule="atLeast"/>
        <w:jc w:val="both"/>
        <w:rPr>
          <w:rFonts w:ascii="Arial" w:eastAsia="Aptos" w:hAnsi="Arial" w:cs="Arial"/>
          <w:color w:val="000000" w:themeColor="text1"/>
        </w:rPr>
      </w:pPr>
    </w:p>
    <w:p w14:paraId="6F190BCA" w14:textId="375463EA" w:rsidR="00825D4D" w:rsidRPr="0081375C" w:rsidRDefault="00806784" w:rsidP="003F6B53">
      <w:pPr>
        <w:spacing w:line="23" w:lineRule="atLeast"/>
        <w:jc w:val="both"/>
        <w:rPr>
          <w:rFonts w:ascii="Arial" w:eastAsia="Aptos" w:hAnsi="Arial" w:cs="Arial"/>
          <w:color w:val="000000" w:themeColor="text1"/>
        </w:rPr>
      </w:pPr>
      <w:proofErr w:type="spellStart"/>
      <w:r w:rsidRPr="0081375C">
        <w:rPr>
          <w:rFonts w:ascii="Arial" w:eastAsia="Arial" w:hAnsi="Arial" w:cs="Arial"/>
          <w:color w:val="000000" w:themeColor="text1"/>
        </w:rPr>
        <w:t>VrPSARestauración</w:t>
      </w:r>
      <w:proofErr w:type="spellEnd"/>
      <w:r w:rsidRPr="0081375C">
        <w:rPr>
          <w:rFonts w:ascii="Arial" w:eastAsia="Arial" w:hAnsi="Arial" w:cs="Arial"/>
          <w:color w:val="000000" w:themeColor="text1"/>
        </w:rPr>
        <w:t xml:space="preserve"> = [(</w:t>
      </w:r>
      <w:proofErr w:type="spellStart"/>
      <w:r w:rsidRPr="0081375C">
        <w:rPr>
          <w:rFonts w:ascii="Arial" w:eastAsia="Arial" w:hAnsi="Arial" w:cs="Arial"/>
          <w:color w:val="000000" w:themeColor="text1"/>
        </w:rPr>
        <w:t>Vrp</w:t>
      </w:r>
      <w:proofErr w:type="spellEnd"/>
      <w:r w:rsidRPr="0081375C">
        <w:rPr>
          <w:rFonts w:ascii="Arial" w:eastAsia="Arial" w:hAnsi="Arial" w:cs="Arial"/>
          <w:color w:val="000000" w:themeColor="text1"/>
        </w:rPr>
        <w:t xml:space="preserve"> × Ar) × CE] </w:t>
      </w:r>
    </w:p>
    <w:p w14:paraId="0683238F" w14:textId="77777777" w:rsidR="00794E99" w:rsidRPr="0081375C" w:rsidRDefault="00794E99" w:rsidP="003F6B53">
      <w:pPr>
        <w:spacing w:line="23" w:lineRule="atLeast"/>
        <w:jc w:val="both"/>
        <w:rPr>
          <w:rFonts w:ascii="Arial" w:eastAsia="Arial" w:hAnsi="Arial" w:cs="Arial"/>
          <w:color w:val="000000" w:themeColor="text1"/>
        </w:rPr>
      </w:pPr>
    </w:p>
    <w:p w14:paraId="4E9AD196" w14:textId="58E7AC14"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lastRenderedPageBreak/>
        <w:t xml:space="preserve">donde Ar es </w:t>
      </w:r>
      <w:proofErr w:type="gramStart"/>
      <w:r w:rsidRPr="0081375C">
        <w:rPr>
          <w:rFonts w:ascii="Arial" w:eastAsia="Arial" w:hAnsi="Arial" w:cs="Arial"/>
          <w:color w:val="000000" w:themeColor="text1"/>
        </w:rPr>
        <w:t>el área a restaurar</w:t>
      </w:r>
      <w:proofErr w:type="gramEnd"/>
      <w:r w:rsidRPr="0081375C">
        <w:rPr>
          <w:rFonts w:ascii="Arial" w:eastAsia="Arial" w:hAnsi="Arial" w:cs="Arial"/>
          <w:color w:val="000000" w:themeColor="text1"/>
        </w:rPr>
        <w:t xml:space="preserve">, </w:t>
      </w:r>
      <w:proofErr w:type="spellStart"/>
      <w:r w:rsidRPr="0081375C">
        <w:rPr>
          <w:rFonts w:ascii="Arial" w:eastAsia="Arial" w:hAnsi="Arial" w:cs="Arial"/>
          <w:color w:val="000000" w:themeColor="text1"/>
        </w:rPr>
        <w:t>Vrr</w:t>
      </w:r>
      <w:proofErr w:type="spellEnd"/>
      <w:r w:rsidRPr="0081375C">
        <w:rPr>
          <w:rFonts w:ascii="Arial" w:eastAsia="Arial" w:hAnsi="Arial" w:cs="Arial"/>
          <w:color w:val="000000" w:themeColor="text1"/>
        </w:rPr>
        <w:t xml:space="preserve"> es el valor de referencia de restauración por hectárea</w:t>
      </w:r>
      <w:r w:rsidR="00211559" w:rsidRPr="0081375C">
        <w:rPr>
          <w:rFonts w:ascii="Arial" w:eastAsia="Arial" w:hAnsi="Arial" w:cs="Arial"/>
          <w:color w:val="000000" w:themeColor="text1"/>
        </w:rPr>
        <w:t>.</w:t>
      </w:r>
    </w:p>
    <w:p w14:paraId="24674C0C" w14:textId="77777777" w:rsidR="00825D4D" w:rsidRPr="0081375C" w:rsidRDefault="00825D4D" w:rsidP="003F6B53">
      <w:pPr>
        <w:spacing w:line="23" w:lineRule="atLeast"/>
        <w:jc w:val="both"/>
        <w:rPr>
          <w:rFonts w:ascii="Arial" w:eastAsia="Aptos" w:hAnsi="Arial" w:cs="Arial"/>
          <w:color w:val="000000" w:themeColor="text1"/>
        </w:rPr>
      </w:pPr>
    </w:p>
    <w:p w14:paraId="26E2BFFB" w14:textId="6711A033" w:rsidR="00825D4D" w:rsidRPr="0081375C" w:rsidRDefault="00825D4D"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El Criterio de Eficiencia (CE) se aplica por beneficiario sobre el área total acumulada de todos sus predios en el esquema, de forma progresiva: CE = 1,0 para las primeras 20 hectáreas, CE = 0,75 para las siguientes 50 hectáreas (tramo 20–70 ha), y CE = 0,5 para el área que supere las 70 hectáreas. Si un beneficiario tiene varios predios seleccionados, el CE de todos ellos debe calcularse en conjunto, no de forma independiente.</w:t>
      </w:r>
    </w:p>
    <w:p w14:paraId="04C3CC26" w14:textId="77777777" w:rsidR="00794E99" w:rsidRPr="0081375C" w:rsidRDefault="00794E99" w:rsidP="003F6B53">
      <w:pPr>
        <w:spacing w:line="23" w:lineRule="atLeast"/>
        <w:jc w:val="both"/>
        <w:rPr>
          <w:rFonts w:ascii="Arial" w:eastAsia="Arial" w:hAnsi="Arial" w:cs="Arial"/>
          <w:color w:val="000000" w:themeColor="text1"/>
        </w:rPr>
      </w:pPr>
    </w:p>
    <w:p w14:paraId="58FB31EF" w14:textId="77777777" w:rsidR="004A6A68" w:rsidRPr="0081375C" w:rsidRDefault="00806784" w:rsidP="004A6A68">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resultado se registra por predio con todos los parámetros aplicados: áreas, CE, metros de cerramiento, número de mantenimientos, valores unitarios utilizados y fecha de la resolución de actualización. Este registro es el insumo directo para la proyección del </w:t>
      </w:r>
      <w:r w:rsidR="002F4962" w:rsidRPr="0081375C">
        <w:rPr>
          <w:rFonts w:ascii="Arial" w:eastAsia="Arial" w:hAnsi="Arial" w:cs="Arial"/>
          <w:color w:val="000000" w:themeColor="text1"/>
        </w:rPr>
        <w:t>acuerdo de pago</w:t>
      </w:r>
      <w:r w:rsidRPr="0081375C">
        <w:rPr>
          <w:rFonts w:ascii="Arial" w:eastAsia="Arial" w:hAnsi="Arial" w:cs="Arial"/>
          <w:color w:val="000000" w:themeColor="text1"/>
        </w:rPr>
        <w:t>. Si las exclusiones aplicadas reducen el área efectiva respecto al área aprobada por el comité, esa discrepancia debe retroalimentarse antes de proceder con la formalización.</w:t>
      </w:r>
    </w:p>
    <w:p w14:paraId="61B9862A" w14:textId="77777777" w:rsidR="007A5240" w:rsidRPr="0081375C" w:rsidRDefault="007A5240" w:rsidP="004A6A68">
      <w:pPr>
        <w:spacing w:line="23" w:lineRule="atLeast"/>
        <w:jc w:val="both"/>
        <w:rPr>
          <w:rFonts w:ascii="Arial" w:eastAsia="Arial" w:hAnsi="Arial" w:cs="Arial"/>
          <w:color w:val="000000" w:themeColor="text1"/>
        </w:rPr>
      </w:pPr>
    </w:p>
    <w:p w14:paraId="1640146F" w14:textId="545A9265" w:rsidR="00AB2B02" w:rsidRPr="0081375C" w:rsidRDefault="00A6302A" w:rsidP="004A66BA">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virtud de lo contemplado en el parágrafo 1 del artículo 2.4.1.9. del Decreto 774 de 2024, donde </w:t>
      </w:r>
      <w:r w:rsidR="002E72B4" w:rsidRPr="0081375C">
        <w:rPr>
          <w:rFonts w:ascii="Arial" w:eastAsia="Arial" w:hAnsi="Arial" w:cs="Arial"/>
          <w:color w:val="000000" w:themeColor="text1"/>
        </w:rPr>
        <w:t>la Secretaría de Medio Ambiente deberá formular y adoptar una guía metodológica que detalle cada una de las acciones, actividades, tiempos, modalidades y/o requisitos de las diferentes etapas</w:t>
      </w:r>
      <w:r w:rsidR="00A20959" w:rsidRPr="0081375C">
        <w:rPr>
          <w:rFonts w:ascii="Arial" w:eastAsia="Arial" w:hAnsi="Arial" w:cs="Arial"/>
          <w:color w:val="000000" w:themeColor="text1"/>
        </w:rPr>
        <w:t xml:space="preserve"> y lo estipulado en la Resolución Número 202650012636 </w:t>
      </w:r>
      <w:r w:rsidR="00B46060" w:rsidRPr="0081375C">
        <w:rPr>
          <w:rFonts w:ascii="Arial" w:eastAsia="Arial" w:hAnsi="Arial" w:cs="Arial"/>
          <w:color w:val="000000" w:themeColor="text1"/>
        </w:rPr>
        <w:t>de</w:t>
      </w:r>
      <w:r w:rsidR="00A20959" w:rsidRPr="0081375C">
        <w:rPr>
          <w:rFonts w:ascii="Arial" w:eastAsia="Arial" w:hAnsi="Arial" w:cs="Arial"/>
          <w:color w:val="000000" w:themeColor="text1"/>
        </w:rPr>
        <w:t xml:space="preserve"> 23/02/2026 </w:t>
      </w:r>
      <w:r w:rsidR="00A20959" w:rsidRPr="0081375C">
        <w:rPr>
          <w:rFonts w:ascii="Arial" w:eastAsia="Arial" w:hAnsi="Arial" w:cs="Arial"/>
          <w:i/>
          <w:iCs/>
          <w:color w:val="000000" w:themeColor="text1"/>
        </w:rPr>
        <w:t>“Por medio de la cual se actualizan los valores de pago del incentivo económico por acción de Pago por Servicios Ambientales Hídricos en el Distrito Especial de Ciencia, Tecnología e Innovación de Medellín para la vigencia 2026, según parágrafo 2 del artículo 2.4.1.11 del Decreto 774 de 2024 (compilatorio del</w:t>
      </w:r>
      <w:r w:rsidR="00B02631" w:rsidRPr="0081375C">
        <w:rPr>
          <w:rFonts w:ascii="Arial" w:eastAsia="Arial" w:hAnsi="Arial" w:cs="Arial"/>
          <w:i/>
          <w:iCs/>
          <w:color w:val="000000" w:themeColor="text1"/>
        </w:rPr>
        <w:t xml:space="preserve"> </w:t>
      </w:r>
      <w:r w:rsidR="00A20959" w:rsidRPr="0081375C">
        <w:rPr>
          <w:rFonts w:ascii="Arial" w:eastAsia="Arial" w:hAnsi="Arial" w:cs="Arial"/>
          <w:i/>
          <w:iCs/>
          <w:color w:val="000000" w:themeColor="text1"/>
        </w:rPr>
        <w:t>Decreto 1114 de 2023)”</w:t>
      </w:r>
      <w:r w:rsidR="00A20959" w:rsidRPr="0081375C">
        <w:rPr>
          <w:rFonts w:ascii="Arial" w:eastAsia="Arial" w:hAnsi="Arial" w:cs="Arial"/>
          <w:color w:val="000000" w:themeColor="text1"/>
        </w:rPr>
        <w:t xml:space="preserve"> </w:t>
      </w:r>
      <w:r w:rsidR="00CA3478" w:rsidRPr="0081375C">
        <w:rPr>
          <w:rFonts w:ascii="Arial" w:eastAsia="Arial" w:hAnsi="Arial" w:cs="Arial"/>
          <w:color w:val="000000" w:themeColor="text1"/>
        </w:rPr>
        <w:t xml:space="preserve">se </w:t>
      </w:r>
      <w:r w:rsidR="00A20959" w:rsidRPr="0081375C">
        <w:rPr>
          <w:rFonts w:ascii="Arial" w:eastAsia="Arial" w:hAnsi="Arial" w:cs="Arial"/>
          <w:color w:val="000000" w:themeColor="text1"/>
        </w:rPr>
        <w:t>procede</w:t>
      </w:r>
      <w:r w:rsidR="00B02631" w:rsidRPr="0081375C">
        <w:rPr>
          <w:rFonts w:ascii="Arial" w:eastAsia="Arial" w:hAnsi="Arial" w:cs="Arial"/>
          <w:color w:val="000000" w:themeColor="text1"/>
        </w:rPr>
        <w:t xml:space="preserve"> a actualizar las tablas con los </w:t>
      </w:r>
      <w:r w:rsidR="004A66BA" w:rsidRPr="0081375C">
        <w:rPr>
          <w:rFonts w:ascii="Arial" w:eastAsia="Arial" w:hAnsi="Arial" w:cs="Arial"/>
          <w:color w:val="000000" w:themeColor="text1"/>
        </w:rPr>
        <w:t>valores unitarios por acción</w:t>
      </w:r>
      <w:r w:rsidR="00F91C49" w:rsidRPr="0081375C">
        <w:rPr>
          <w:rFonts w:ascii="Arial" w:eastAsia="Arial" w:hAnsi="Arial" w:cs="Arial"/>
          <w:color w:val="000000" w:themeColor="text1"/>
        </w:rPr>
        <w:t xml:space="preserve"> </w:t>
      </w:r>
      <w:r w:rsidR="004A66BA" w:rsidRPr="0081375C">
        <w:rPr>
          <w:rFonts w:ascii="Arial" w:eastAsia="Arial" w:hAnsi="Arial" w:cs="Arial"/>
          <w:color w:val="000000" w:themeColor="text1"/>
        </w:rPr>
        <w:t xml:space="preserve">de PSA, Decreto 774 de 2024, para la vigencia 2026 </w:t>
      </w:r>
      <w:r w:rsidR="00884E30" w:rsidRPr="0081375C">
        <w:rPr>
          <w:rFonts w:ascii="Arial" w:eastAsia="Arial" w:hAnsi="Arial" w:cs="Arial"/>
          <w:color w:val="000000" w:themeColor="text1"/>
        </w:rPr>
        <w:t>y el Decreto 1910 de 2016</w:t>
      </w:r>
      <w:r w:rsidR="002E72B4" w:rsidRPr="0081375C">
        <w:rPr>
          <w:rFonts w:ascii="Arial" w:eastAsia="Arial" w:hAnsi="Arial" w:cs="Arial"/>
          <w:color w:val="000000" w:themeColor="text1"/>
        </w:rPr>
        <w:t>.</w:t>
      </w:r>
    </w:p>
    <w:p w14:paraId="240F6FDA" w14:textId="77777777" w:rsidR="00AB2B02" w:rsidRPr="0081375C" w:rsidRDefault="00AB2B02" w:rsidP="004A6A68">
      <w:pPr>
        <w:spacing w:line="23" w:lineRule="atLeast"/>
        <w:jc w:val="both"/>
        <w:rPr>
          <w:rFonts w:ascii="Arial" w:eastAsia="Arial" w:hAnsi="Arial" w:cs="Arial"/>
          <w:color w:val="000000" w:themeColor="text1"/>
        </w:rPr>
      </w:pPr>
    </w:p>
    <w:p w14:paraId="553BFE23" w14:textId="2FB5F0A3" w:rsidR="00AB2B02" w:rsidRPr="0081375C" w:rsidRDefault="00884E30" w:rsidP="00884E30">
      <w:pPr>
        <w:pStyle w:val="Descripcin"/>
        <w:spacing w:after="0"/>
        <w:rPr>
          <w:rFonts w:ascii="Arial" w:hAnsi="Arial" w:cs="Arial"/>
          <w:b/>
          <w:bCs/>
          <w:i w:val="0"/>
          <w:iCs w:val="0"/>
          <w:color w:val="auto"/>
          <w:sz w:val="20"/>
          <w:szCs w:val="20"/>
        </w:rPr>
      </w:pPr>
      <w:r w:rsidRPr="0081375C">
        <w:rPr>
          <w:rFonts w:ascii="Arial" w:hAnsi="Arial" w:cs="Arial"/>
          <w:b/>
          <w:bCs/>
          <w:i w:val="0"/>
          <w:iCs w:val="0"/>
          <w:color w:val="auto"/>
          <w:sz w:val="20"/>
          <w:szCs w:val="20"/>
        </w:rPr>
        <w:t xml:space="preserve">Tabla </w:t>
      </w:r>
      <w:r w:rsidRPr="0081375C">
        <w:rPr>
          <w:rFonts w:ascii="Arial" w:hAnsi="Arial" w:cs="Arial"/>
          <w:b/>
          <w:bCs/>
          <w:i w:val="0"/>
          <w:iCs w:val="0"/>
          <w:color w:val="auto"/>
          <w:sz w:val="20"/>
          <w:szCs w:val="20"/>
        </w:rPr>
        <w:fldChar w:fldCharType="begin"/>
      </w:r>
      <w:r w:rsidRPr="0081375C">
        <w:rPr>
          <w:rFonts w:ascii="Arial" w:hAnsi="Arial" w:cs="Arial"/>
          <w:b/>
          <w:bCs/>
          <w:i w:val="0"/>
          <w:iCs w:val="0"/>
          <w:color w:val="auto"/>
          <w:sz w:val="20"/>
          <w:szCs w:val="20"/>
        </w:rPr>
        <w:instrText xml:space="preserve"> SEQ Tabla \* ARABIC </w:instrText>
      </w:r>
      <w:r w:rsidRPr="0081375C">
        <w:rPr>
          <w:rFonts w:ascii="Arial" w:hAnsi="Arial" w:cs="Arial"/>
          <w:b/>
          <w:bCs/>
          <w:i w:val="0"/>
          <w:iCs w:val="0"/>
          <w:color w:val="auto"/>
          <w:sz w:val="20"/>
          <w:szCs w:val="20"/>
        </w:rPr>
        <w:fldChar w:fldCharType="separate"/>
      </w:r>
      <w:r w:rsidR="00921CE3" w:rsidRPr="0081375C">
        <w:rPr>
          <w:rFonts w:ascii="Arial" w:hAnsi="Arial" w:cs="Arial"/>
          <w:b/>
          <w:bCs/>
          <w:i w:val="0"/>
          <w:iCs w:val="0"/>
          <w:noProof/>
          <w:color w:val="auto"/>
          <w:sz w:val="20"/>
          <w:szCs w:val="20"/>
        </w:rPr>
        <w:t>29</w:t>
      </w:r>
      <w:r w:rsidRPr="0081375C">
        <w:rPr>
          <w:rFonts w:ascii="Arial" w:hAnsi="Arial" w:cs="Arial"/>
          <w:b/>
          <w:bCs/>
          <w:i w:val="0"/>
          <w:iCs w:val="0"/>
          <w:color w:val="auto"/>
          <w:sz w:val="20"/>
          <w:szCs w:val="20"/>
        </w:rPr>
        <w:fldChar w:fldCharType="end"/>
      </w:r>
      <w:r w:rsidR="00AB2B02" w:rsidRPr="0081375C">
        <w:rPr>
          <w:rFonts w:ascii="Arial" w:hAnsi="Arial" w:cs="Arial"/>
          <w:b/>
          <w:bCs/>
          <w:i w:val="0"/>
          <w:iCs w:val="0"/>
          <w:color w:val="auto"/>
          <w:sz w:val="20"/>
          <w:szCs w:val="20"/>
        </w:rPr>
        <w:t>. Valor unitario del incentivo económico por acción de PSA, Decreto 774 de 2024, para la vigencia 2026.</w:t>
      </w:r>
    </w:p>
    <w:tbl>
      <w:tblPr>
        <w:tblStyle w:val="Tablaconcuadrcula1"/>
        <w:tblW w:w="5000" w:type="pct"/>
        <w:jc w:val="center"/>
        <w:tblLook w:val="0400" w:firstRow="0" w:lastRow="0" w:firstColumn="0" w:lastColumn="0" w:noHBand="0" w:noVBand="1"/>
      </w:tblPr>
      <w:tblGrid>
        <w:gridCol w:w="1381"/>
        <w:gridCol w:w="5277"/>
        <w:gridCol w:w="1978"/>
      </w:tblGrid>
      <w:tr w:rsidR="00AB2B02" w:rsidRPr="0081375C" w14:paraId="1943D8AA" w14:textId="77777777" w:rsidTr="00AB2B02">
        <w:trPr>
          <w:trHeight w:val="290"/>
          <w:tblHeader/>
          <w:jc w:val="center"/>
        </w:trPr>
        <w:tc>
          <w:tcPr>
            <w:tcW w:w="800" w:type="pct"/>
            <w:vAlign w:val="center"/>
          </w:tcPr>
          <w:p w14:paraId="7991710F" w14:textId="77777777" w:rsidR="00AB2B02" w:rsidRPr="0081375C" w:rsidRDefault="00AB2B02" w:rsidP="00884E30">
            <w:pPr>
              <w:contextualSpacing/>
              <w:jc w:val="center"/>
              <w:rPr>
                <w:rFonts w:ascii="Arial" w:eastAsia="Arial" w:hAnsi="Arial" w:cs="Arial"/>
                <w:b/>
                <w:sz w:val="20"/>
                <w:szCs w:val="20"/>
              </w:rPr>
            </w:pPr>
            <w:r w:rsidRPr="0081375C">
              <w:rPr>
                <w:rFonts w:ascii="Arial" w:eastAsia="Arial" w:hAnsi="Arial" w:cs="Arial"/>
                <w:b/>
                <w:sz w:val="20"/>
                <w:szCs w:val="20"/>
              </w:rPr>
              <w:t>Variable</w:t>
            </w:r>
          </w:p>
        </w:tc>
        <w:tc>
          <w:tcPr>
            <w:tcW w:w="3055" w:type="pct"/>
            <w:vAlign w:val="center"/>
          </w:tcPr>
          <w:p w14:paraId="5BAB3F50" w14:textId="77777777" w:rsidR="00AB2B02" w:rsidRPr="0081375C" w:rsidRDefault="00AB2B02" w:rsidP="00884E30">
            <w:pPr>
              <w:contextualSpacing/>
              <w:jc w:val="center"/>
              <w:rPr>
                <w:rFonts w:ascii="Arial" w:eastAsia="Arial" w:hAnsi="Arial" w:cs="Arial"/>
                <w:b/>
                <w:sz w:val="20"/>
                <w:szCs w:val="20"/>
              </w:rPr>
            </w:pPr>
            <w:r w:rsidRPr="0081375C">
              <w:rPr>
                <w:rFonts w:ascii="Arial" w:eastAsia="Arial" w:hAnsi="Arial" w:cs="Arial"/>
                <w:b/>
                <w:sz w:val="20"/>
                <w:szCs w:val="20"/>
              </w:rPr>
              <w:t>Acción de PSA</w:t>
            </w:r>
          </w:p>
        </w:tc>
        <w:tc>
          <w:tcPr>
            <w:tcW w:w="1145" w:type="pct"/>
            <w:vAlign w:val="center"/>
          </w:tcPr>
          <w:p w14:paraId="53A8CB6F" w14:textId="77777777" w:rsidR="00AB2B02" w:rsidRPr="0081375C" w:rsidRDefault="00AB2B02" w:rsidP="00884E30">
            <w:pPr>
              <w:contextualSpacing/>
              <w:jc w:val="center"/>
              <w:rPr>
                <w:rFonts w:ascii="Arial" w:eastAsia="Arial" w:hAnsi="Arial" w:cs="Arial"/>
                <w:b/>
                <w:sz w:val="20"/>
                <w:szCs w:val="20"/>
              </w:rPr>
            </w:pPr>
            <w:r w:rsidRPr="0081375C">
              <w:rPr>
                <w:rFonts w:ascii="Arial" w:eastAsia="Arial" w:hAnsi="Arial" w:cs="Arial"/>
                <w:b/>
                <w:sz w:val="20"/>
                <w:szCs w:val="20"/>
              </w:rPr>
              <w:t>Valor en Millones de pesos</w:t>
            </w:r>
          </w:p>
          <w:p w14:paraId="0D914655" w14:textId="77777777" w:rsidR="00AB2B02" w:rsidRPr="0081375C" w:rsidRDefault="00AB2B02" w:rsidP="00884E30">
            <w:pPr>
              <w:contextualSpacing/>
              <w:jc w:val="center"/>
              <w:rPr>
                <w:rFonts w:ascii="Arial" w:eastAsia="Arial" w:hAnsi="Arial" w:cs="Arial"/>
                <w:b/>
                <w:sz w:val="20"/>
                <w:szCs w:val="20"/>
              </w:rPr>
            </w:pPr>
            <w:r w:rsidRPr="0081375C">
              <w:rPr>
                <w:rFonts w:ascii="Arial" w:eastAsia="Arial" w:hAnsi="Arial" w:cs="Arial"/>
                <w:b/>
                <w:sz w:val="20"/>
                <w:szCs w:val="20"/>
              </w:rPr>
              <w:t>($/ha/año)</w:t>
            </w:r>
          </w:p>
        </w:tc>
      </w:tr>
      <w:tr w:rsidR="00AB2B02" w:rsidRPr="0081375C" w14:paraId="185383F3" w14:textId="77777777" w:rsidTr="00AB2B02">
        <w:trPr>
          <w:trHeight w:val="290"/>
          <w:jc w:val="center"/>
        </w:trPr>
        <w:tc>
          <w:tcPr>
            <w:tcW w:w="800" w:type="pct"/>
            <w:vAlign w:val="center"/>
          </w:tcPr>
          <w:p w14:paraId="5ADBA48F" w14:textId="77777777" w:rsidR="00AB2B02" w:rsidRPr="0081375C" w:rsidRDefault="00AB2B02" w:rsidP="00884E30">
            <w:pPr>
              <w:ind w:left="313"/>
              <w:contextualSpacing/>
              <w:rPr>
                <w:rFonts w:ascii="Arial" w:eastAsia="Arial" w:hAnsi="Arial" w:cs="Arial"/>
                <w:sz w:val="20"/>
                <w:szCs w:val="20"/>
              </w:rPr>
            </w:pPr>
            <w:proofErr w:type="spellStart"/>
            <w:r w:rsidRPr="0081375C">
              <w:rPr>
                <w:rFonts w:ascii="Arial" w:eastAsia="Arial" w:hAnsi="Arial" w:cs="Arial"/>
                <w:sz w:val="20"/>
                <w:szCs w:val="20"/>
              </w:rPr>
              <w:t>Vr</w:t>
            </w:r>
            <w:r w:rsidRPr="0081375C">
              <w:rPr>
                <w:rFonts w:ascii="Arial" w:eastAsia="Arial" w:hAnsi="Arial" w:cs="Arial"/>
                <w:sz w:val="20"/>
                <w:szCs w:val="20"/>
                <w:vertAlign w:val="subscript"/>
              </w:rPr>
              <w:t>p</w:t>
            </w:r>
            <w:proofErr w:type="spellEnd"/>
          </w:p>
        </w:tc>
        <w:tc>
          <w:tcPr>
            <w:tcW w:w="3055" w:type="pct"/>
            <w:vAlign w:val="center"/>
          </w:tcPr>
          <w:p w14:paraId="3744E1A2" w14:textId="77777777" w:rsidR="00AB2B02" w:rsidRPr="0081375C" w:rsidRDefault="00AB2B02" w:rsidP="00884E30">
            <w:pPr>
              <w:contextualSpacing/>
              <w:jc w:val="both"/>
              <w:rPr>
                <w:rFonts w:ascii="Arial" w:eastAsia="Arial" w:hAnsi="Arial" w:cs="Arial"/>
                <w:sz w:val="20"/>
                <w:szCs w:val="20"/>
              </w:rPr>
            </w:pPr>
            <w:r w:rsidRPr="0081375C">
              <w:rPr>
                <w:rFonts w:ascii="Arial" w:eastAsia="Arial" w:hAnsi="Arial" w:cs="Arial"/>
                <w:sz w:val="20"/>
                <w:szCs w:val="20"/>
              </w:rPr>
              <w:t>Valor anual por hectárea en acción de preservación o compensación por cambio en el uso del suelo ($/ha/año)</w:t>
            </w:r>
          </w:p>
        </w:tc>
        <w:tc>
          <w:tcPr>
            <w:tcW w:w="1145" w:type="pct"/>
            <w:vAlign w:val="center"/>
          </w:tcPr>
          <w:p w14:paraId="6890DBF7" w14:textId="77777777" w:rsidR="00AB2B02" w:rsidRPr="0081375C" w:rsidRDefault="00AB2B02" w:rsidP="00884E30">
            <w:pPr>
              <w:ind w:right="364"/>
              <w:contextualSpacing/>
              <w:jc w:val="center"/>
              <w:rPr>
                <w:rFonts w:ascii="Arial" w:eastAsia="Arial" w:hAnsi="Arial" w:cs="Arial"/>
                <w:sz w:val="20"/>
                <w:szCs w:val="20"/>
              </w:rPr>
            </w:pPr>
            <w:r w:rsidRPr="0081375C">
              <w:rPr>
                <w:rFonts w:ascii="Arial" w:eastAsia="Arial" w:hAnsi="Arial" w:cs="Arial"/>
                <w:sz w:val="20"/>
                <w:szCs w:val="20"/>
              </w:rPr>
              <w:t>3,54</w:t>
            </w:r>
          </w:p>
        </w:tc>
      </w:tr>
      <w:tr w:rsidR="00AB2B02" w:rsidRPr="0081375C" w14:paraId="2C652B05" w14:textId="77777777" w:rsidTr="00AB2B02">
        <w:trPr>
          <w:trHeight w:val="290"/>
          <w:jc w:val="center"/>
        </w:trPr>
        <w:tc>
          <w:tcPr>
            <w:tcW w:w="800" w:type="pct"/>
            <w:vAlign w:val="center"/>
          </w:tcPr>
          <w:p w14:paraId="56F9C65C" w14:textId="77777777" w:rsidR="00AB2B02" w:rsidRPr="0081375C" w:rsidRDefault="00A75462" w:rsidP="008D3E59">
            <w:pPr>
              <w:ind w:right="291"/>
              <w:contextualSpacing/>
              <w:jc w:val="center"/>
              <w:rPr>
                <w:rFonts w:ascii="Arial" w:eastAsia="Arial" w:hAnsi="Arial" w:cs="Arial"/>
                <w:sz w:val="20"/>
                <w:szCs w:val="20"/>
              </w:rPr>
            </w:pPr>
            <m:oMathPara>
              <m:oMath>
                <m:sSub>
                  <m:sSubPr>
                    <m:ctrlPr>
                      <w:rPr>
                        <w:rFonts w:ascii="Cambria Math" w:eastAsia="Cambria Math" w:hAnsi="Cambria Math" w:cs="Arial"/>
                        <w:sz w:val="20"/>
                        <w:szCs w:val="20"/>
                      </w:rPr>
                    </m:ctrlPr>
                  </m:sSubPr>
                  <m:e>
                    <m:r>
                      <w:rPr>
                        <w:rFonts w:ascii="Cambria Math" w:eastAsia="Cambria Math" w:hAnsi="Cambria Math" w:cs="Arial"/>
                        <w:sz w:val="20"/>
                        <w:szCs w:val="20"/>
                      </w:rPr>
                      <m:t>Vr</m:t>
                    </m:r>
                  </m:e>
                  <m:sub>
                    <m:r>
                      <w:rPr>
                        <w:rFonts w:ascii="Cambria Math" w:eastAsia="Cambria Math" w:hAnsi="Cambria Math" w:cs="Arial"/>
                        <w:sz w:val="20"/>
                        <w:szCs w:val="20"/>
                      </w:rPr>
                      <m:t>r</m:t>
                    </m:r>
                  </m:sub>
                </m:sSub>
              </m:oMath>
            </m:oMathPara>
          </w:p>
        </w:tc>
        <w:tc>
          <w:tcPr>
            <w:tcW w:w="3055" w:type="pct"/>
            <w:vAlign w:val="center"/>
          </w:tcPr>
          <w:p w14:paraId="473BA365" w14:textId="77777777" w:rsidR="00AB2B02" w:rsidRPr="0081375C" w:rsidRDefault="00AB2B02" w:rsidP="008D3E59">
            <w:pPr>
              <w:contextualSpacing/>
              <w:jc w:val="both"/>
              <w:rPr>
                <w:rFonts w:ascii="Arial" w:eastAsia="Arial" w:hAnsi="Arial" w:cs="Arial"/>
                <w:sz w:val="20"/>
                <w:szCs w:val="20"/>
              </w:rPr>
            </w:pPr>
            <w:r w:rsidRPr="0081375C">
              <w:rPr>
                <w:rFonts w:ascii="Arial" w:eastAsia="Arial" w:hAnsi="Arial" w:cs="Arial"/>
                <w:sz w:val="20"/>
                <w:szCs w:val="20"/>
              </w:rPr>
              <w:t>Valor anual por hectárea en acción de restauración, establecimiento ($/ha/año)</w:t>
            </w:r>
          </w:p>
        </w:tc>
        <w:tc>
          <w:tcPr>
            <w:tcW w:w="1145" w:type="pct"/>
            <w:vAlign w:val="center"/>
          </w:tcPr>
          <w:p w14:paraId="55F829B7" w14:textId="77777777" w:rsidR="00AB2B02" w:rsidRPr="0081375C" w:rsidRDefault="00AB2B02" w:rsidP="008D3E59">
            <w:pPr>
              <w:ind w:right="364"/>
              <w:contextualSpacing/>
              <w:jc w:val="center"/>
              <w:rPr>
                <w:rFonts w:ascii="Arial" w:eastAsia="Arial" w:hAnsi="Arial" w:cs="Arial"/>
                <w:sz w:val="20"/>
                <w:szCs w:val="20"/>
              </w:rPr>
            </w:pPr>
            <w:r w:rsidRPr="0081375C">
              <w:rPr>
                <w:rFonts w:ascii="Arial" w:eastAsia="Arial" w:hAnsi="Arial" w:cs="Arial"/>
                <w:sz w:val="20"/>
                <w:szCs w:val="20"/>
              </w:rPr>
              <w:t>18,00</w:t>
            </w:r>
          </w:p>
        </w:tc>
      </w:tr>
      <w:tr w:rsidR="00AB2B02" w:rsidRPr="0081375C" w14:paraId="3C174D2B" w14:textId="77777777" w:rsidTr="00AB2B02">
        <w:trPr>
          <w:trHeight w:val="290"/>
          <w:jc w:val="center"/>
        </w:trPr>
        <w:tc>
          <w:tcPr>
            <w:tcW w:w="800" w:type="pct"/>
            <w:vAlign w:val="center"/>
          </w:tcPr>
          <w:p w14:paraId="40303AFB" w14:textId="77777777" w:rsidR="00AB2B02" w:rsidRPr="0081375C" w:rsidRDefault="00AB2B02" w:rsidP="008D3E59">
            <w:pPr>
              <w:ind w:left="313"/>
              <w:contextualSpacing/>
              <w:rPr>
                <w:rFonts w:ascii="Arial" w:eastAsia="Arial" w:hAnsi="Arial" w:cs="Arial"/>
                <w:sz w:val="20"/>
                <w:szCs w:val="20"/>
              </w:rPr>
            </w:pPr>
            <w:r w:rsidRPr="0081375C">
              <w:rPr>
                <w:rFonts w:ascii="Arial" w:eastAsia="Arial" w:hAnsi="Arial" w:cs="Arial"/>
                <w:sz w:val="20"/>
                <w:szCs w:val="20"/>
              </w:rPr>
              <w:t>Vr</w:t>
            </w:r>
            <w:r w:rsidRPr="0081375C">
              <w:rPr>
                <w:rFonts w:ascii="Arial" w:eastAsia="Arial" w:hAnsi="Arial" w:cs="Arial"/>
                <w:sz w:val="20"/>
                <w:szCs w:val="20"/>
                <w:vertAlign w:val="subscript"/>
              </w:rPr>
              <w:t>mto1</w:t>
            </w:r>
          </w:p>
        </w:tc>
        <w:tc>
          <w:tcPr>
            <w:tcW w:w="3055" w:type="pct"/>
            <w:vAlign w:val="center"/>
          </w:tcPr>
          <w:p w14:paraId="155372B2" w14:textId="77777777" w:rsidR="00AB2B02" w:rsidRPr="0081375C" w:rsidRDefault="00AB2B02" w:rsidP="008D3E59">
            <w:pPr>
              <w:contextualSpacing/>
              <w:jc w:val="both"/>
              <w:rPr>
                <w:rFonts w:ascii="Arial" w:eastAsia="Arial" w:hAnsi="Arial" w:cs="Arial"/>
                <w:sz w:val="20"/>
                <w:szCs w:val="20"/>
              </w:rPr>
            </w:pPr>
            <w:r w:rsidRPr="0081375C">
              <w:rPr>
                <w:rFonts w:ascii="Arial" w:eastAsia="Arial" w:hAnsi="Arial" w:cs="Arial"/>
                <w:sz w:val="20"/>
                <w:szCs w:val="20"/>
              </w:rPr>
              <w:t>Valor unitario por mantenimiento de una hectárea en el año 1 ($/ha/año)</w:t>
            </w:r>
          </w:p>
        </w:tc>
        <w:tc>
          <w:tcPr>
            <w:tcW w:w="1145" w:type="pct"/>
            <w:vAlign w:val="center"/>
          </w:tcPr>
          <w:p w14:paraId="3D63E364" w14:textId="77777777" w:rsidR="00AB2B02" w:rsidRPr="0081375C" w:rsidRDefault="00AB2B02" w:rsidP="008D3E59">
            <w:pPr>
              <w:ind w:right="364"/>
              <w:contextualSpacing/>
              <w:jc w:val="center"/>
              <w:rPr>
                <w:rFonts w:ascii="Arial" w:eastAsia="Arial" w:hAnsi="Arial" w:cs="Arial"/>
                <w:sz w:val="20"/>
                <w:szCs w:val="20"/>
              </w:rPr>
            </w:pPr>
            <w:r w:rsidRPr="0081375C">
              <w:rPr>
                <w:rFonts w:ascii="Arial" w:eastAsia="Arial" w:hAnsi="Arial" w:cs="Arial"/>
                <w:sz w:val="20"/>
                <w:szCs w:val="20"/>
              </w:rPr>
              <w:t>6,37</w:t>
            </w:r>
          </w:p>
        </w:tc>
      </w:tr>
      <w:tr w:rsidR="00AB2B02" w:rsidRPr="0081375C" w14:paraId="52469BCD" w14:textId="77777777" w:rsidTr="00AB2B02">
        <w:trPr>
          <w:trHeight w:val="290"/>
          <w:jc w:val="center"/>
        </w:trPr>
        <w:tc>
          <w:tcPr>
            <w:tcW w:w="800" w:type="pct"/>
            <w:vAlign w:val="center"/>
          </w:tcPr>
          <w:p w14:paraId="64F83C4A" w14:textId="77777777" w:rsidR="00AB2B02" w:rsidRPr="0081375C" w:rsidRDefault="00AB2B02" w:rsidP="008D3E59">
            <w:pPr>
              <w:ind w:left="313"/>
              <w:contextualSpacing/>
              <w:rPr>
                <w:rFonts w:ascii="Arial" w:eastAsia="Arial" w:hAnsi="Arial" w:cs="Arial"/>
                <w:sz w:val="20"/>
                <w:szCs w:val="20"/>
              </w:rPr>
            </w:pPr>
            <w:proofErr w:type="spellStart"/>
            <w:r w:rsidRPr="0081375C">
              <w:rPr>
                <w:rFonts w:ascii="Arial" w:eastAsia="Arial" w:hAnsi="Arial" w:cs="Arial"/>
                <w:sz w:val="20"/>
                <w:szCs w:val="20"/>
              </w:rPr>
              <w:t>Vr</w:t>
            </w:r>
            <w:r w:rsidRPr="0081375C">
              <w:rPr>
                <w:rFonts w:ascii="Arial" w:eastAsia="Arial" w:hAnsi="Arial" w:cs="Arial"/>
                <w:sz w:val="20"/>
                <w:szCs w:val="20"/>
                <w:vertAlign w:val="subscript"/>
              </w:rPr>
              <w:t>mtos</w:t>
            </w:r>
            <w:proofErr w:type="spellEnd"/>
          </w:p>
        </w:tc>
        <w:tc>
          <w:tcPr>
            <w:tcW w:w="3055" w:type="pct"/>
            <w:vAlign w:val="center"/>
          </w:tcPr>
          <w:p w14:paraId="222DE2A3" w14:textId="77777777" w:rsidR="00AB2B02" w:rsidRPr="0081375C" w:rsidRDefault="00AB2B02" w:rsidP="008D3E59">
            <w:pPr>
              <w:contextualSpacing/>
              <w:jc w:val="both"/>
              <w:rPr>
                <w:rFonts w:ascii="Arial" w:eastAsia="Arial" w:hAnsi="Arial" w:cs="Arial"/>
                <w:sz w:val="20"/>
                <w:szCs w:val="20"/>
              </w:rPr>
            </w:pPr>
            <w:r w:rsidRPr="0081375C">
              <w:rPr>
                <w:rFonts w:ascii="Arial" w:eastAsia="Arial" w:hAnsi="Arial" w:cs="Arial"/>
                <w:sz w:val="20"/>
                <w:szCs w:val="20"/>
              </w:rPr>
              <w:t>Valor unitario por mantenimiento de una hectárea para años diferentes al año 1 ($/ha/año)</w:t>
            </w:r>
          </w:p>
        </w:tc>
        <w:tc>
          <w:tcPr>
            <w:tcW w:w="1145" w:type="pct"/>
            <w:vAlign w:val="center"/>
          </w:tcPr>
          <w:p w14:paraId="555C5570" w14:textId="77777777" w:rsidR="00AB2B02" w:rsidRPr="0081375C" w:rsidRDefault="00AB2B02" w:rsidP="008D3E59">
            <w:pPr>
              <w:ind w:right="364"/>
              <w:contextualSpacing/>
              <w:jc w:val="center"/>
              <w:rPr>
                <w:rFonts w:ascii="Arial" w:eastAsia="Arial" w:hAnsi="Arial" w:cs="Arial"/>
                <w:sz w:val="20"/>
                <w:szCs w:val="20"/>
              </w:rPr>
            </w:pPr>
            <w:r w:rsidRPr="0081375C">
              <w:rPr>
                <w:rFonts w:ascii="Arial" w:eastAsia="Arial" w:hAnsi="Arial" w:cs="Arial"/>
                <w:sz w:val="20"/>
                <w:szCs w:val="20"/>
              </w:rPr>
              <w:t>2,70</w:t>
            </w:r>
          </w:p>
        </w:tc>
      </w:tr>
      <w:tr w:rsidR="00AB2B02" w:rsidRPr="0081375C" w14:paraId="6AC47456" w14:textId="77777777" w:rsidTr="00AB2B02">
        <w:trPr>
          <w:trHeight w:val="290"/>
          <w:jc w:val="center"/>
        </w:trPr>
        <w:tc>
          <w:tcPr>
            <w:tcW w:w="800" w:type="pct"/>
            <w:vAlign w:val="center"/>
          </w:tcPr>
          <w:p w14:paraId="79D3F9CF" w14:textId="77777777" w:rsidR="00AB2B02" w:rsidRPr="0081375C" w:rsidRDefault="00A75462" w:rsidP="008D3E59">
            <w:pPr>
              <w:ind w:left="313"/>
              <w:contextualSpacing/>
              <w:rPr>
                <w:rFonts w:ascii="Arial" w:eastAsia="Arial" w:hAnsi="Arial" w:cs="Arial"/>
                <w:sz w:val="20"/>
                <w:szCs w:val="20"/>
              </w:rPr>
            </w:pPr>
            <m:oMathPara>
              <m:oMathParaPr>
                <m:jc m:val="left"/>
              </m:oMathParaPr>
              <m:oMath>
                <m:sSub>
                  <m:sSubPr>
                    <m:ctrlPr>
                      <w:rPr>
                        <w:rFonts w:ascii="Cambria Math" w:eastAsia="Cambria Math" w:hAnsi="Cambria Math" w:cs="Arial"/>
                        <w:sz w:val="20"/>
                        <w:szCs w:val="20"/>
                      </w:rPr>
                    </m:ctrlPr>
                  </m:sSubPr>
                  <m:e>
                    <m:r>
                      <w:rPr>
                        <w:rFonts w:ascii="Cambria Math" w:eastAsia="Cambria Math" w:hAnsi="Cambria Math" w:cs="Arial"/>
                        <w:sz w:val="20"/>
                        <w:szCs w:val="20"/>
                      </w:rPr>
                      <m:t>Vrc</m:t>
                    </m:r>
                  </m:e>
                  <m:sub>
                    <m:r>
                      <w:rPr>
                        <w:rFonts w:ascii="Cambria Math" w:eastAsia="Cambria Math" w:hAnsi="Cambria Math" w:cs="Arial"/>
                        <w:sz w:val="20"/>
                        <w:szCs w:val="20"/>
                      </w:rPr>
                      <m:t>e</m:t>
                    </m:r>
                  </m:sub>
                </m:sSub>
              </m:oMath>
            </m:oMathPara>
          </w:p>
        </w:tc>
        <w:tc>
          <w:tcPr>
            <w:tcW w:w="3055" w:type="pct"/>
            <w:vAlign w:val="center"/>
          </w:tcPr>
          <w:p w14:paraId="54238172" w14:textId="77777777" w:rsidR="00AB2B02" w:rsidRPr="0081375C" w:rsidRDefault="00AB2B02" w:rsidP="008D3E59">
            <w:pPr>
              <w:contextualSpacing/>
              <w:jc w:val="both"/>
              <w:rPr>
                <w:rFonts w:ascii="Arial" w:eastAsia="Arial" w:hAnsi="Arial" w:cs="Arial"/>
                <w:sz w:val="20"/>
                <w:szCs w:val="20"/>
              </w:rPr>
            </w:pPr>
            <w:r w:rsidRPr="0081375C">
              <w:rPr>
                <w:rFonts w:ascii="Arial" w:eastAsia="Arial" w:hAnsi="Arial" w:cs="Arial"/>
                <w:sz w:val="20"/>
                <w:szCs w:val="20"/>
              </w:rPr>
              <w:t>Valor del establecimiento del cerramiento por metro lineal ($/m)</w:t>
            </w:r>
          </w:p>
        </w:tc>
        <w:tc>
          <w:tcPr>
            <w:tcW w:w="1145" w:type="pct"/>
            <w:vAlign w:val="center"/>
          </w:tcPr>
          <w:p w14:paraId="7129C701" w14:textId="77777777" w:rsidR="00AB2B02" w:rsidRPr="0081375C" w:rsidRDefault="00AB2B02" w:rsidP="008D3E59">
            <w:pPr>
              <w:ind w:right="364"/>
              <w:contextualSpacing/>
              <w:jc w:val="center"/>
              <w:rPr>
                <w:rFonts w:ascii="Arial" w:eastAsia="Arial" w:hAnsi="Arial" w:cs="Arial"/>
                <w:sz w:val="20"/>
                <w:szCs w:val="20"/>
              </w:rPr>
            </w:pPr>
            <w:r w:rsidRPr="0081375C">
              <w:rPr>
                <w:rFonts w:ascii="Arial" w:eastAsia="Arial" w:hAnsi="Arial" w:cs="Arial"/>
                <w:sz w:val="20"/>
                <w:szCs w:val="20"/>
              </w:rPr>
              <w:t>0,070</w:t>
            </w:r>
          </w:p>
        </w:tc>
      </w:tr>
      <w:tr w:rsidR="00AB2B02" w:rsidRPr="0081375C" w14:paraId="4A8BE79F" w14:textId="77777777" w:rsidTr="00AB2B02">
        <w:trPr>
          <w:trHeight w:val="290"/>
          <w:jc w:val="center"/>
        </w:trPr>
        <w:tc>
          <w:tcPr>
            <w:tcW w:w="800" w:type="pct"/>
            <w:vAlign w:val="center"/>
          </w:tcPr>
          <w:p w14:paraId="0DAFF491" w14:textId="77777777" w:rsidR="00AB2B02" w:rsidRPr="0081375C" w:rsidRDefault="00A75462" w:rsidP="008D3E59">
            <w:pPr>
              <w:ind w:left="313"/>
              <w:contextualSpacing/>
              <w:rPr>
                <w:rFonts w:ascii="Arial" w:eastAsia="Arial" w:hAnsi="Arial" w:cs="Arial"/>
                <w:sz w:val="20"/>
                <w:szCs w:val="20"/>
              </w:rPr>
            </w:pPr>
            <m:oMath>
              <m:sSub>
                <m:sSubPr>
                  <m:ctrlPr>
                    <w:rPr>
                      <w:rFonts w:ascii="Cambria Math" w:eastAsia="Cambria Math" w:hAnsi="Cambria Math" w:cs="Arial"/>
                      <w:sz w:val="20"/>
                      <w:szCs w:val="20"/>
                    </w:rPr>
                  </m:ctrlPr>
                </m:sSubPr>
                <m:e>
                  <m:r>
                    <w:rPr>
                      <w:rFonts w:ascii="Cambria Math" w:eastAsia="Cambria Math" w:hAnsi="Cambria Math" w:cs="Arial"/>
                      <w:sz w:val="20"/>
                      <w:szCs w:val="20"/>
                    </w:rPr>
                    <m:t>Vrc</m:t>
                  </m:r>
                </m:e>
                <m:sub>
                  <m:r>
                    <w:rPr>
                      <w:rFonts w:ascii="Cambria Math" w:eastAsia="Cambria Math" w:hAnsi="Cambria Math" w:cs="Arial"/>
                      <w:sz w:val="20"/>
                      <w:szCs w:val="20"/>
                    </w:rPr>
                    <m:t>m</m:t>
                  </m:r>
                </m:sub>
              </m:sSub>
            </m:oMath>
            <w:r w:rsidR="00AB2B02" w:rsidRPr="0081375C">
              <w:rPr>
                <w:rFonts w:ascii="Arial" w:eastAsia="Arial" w:hAnsi="Arial" w:cs="Arial"/>
                <w:sz w:val="20"/>
                <w:szCs w:val="20"/>
              </w:rPr>
              <w:t>:</w:t>
            </w:r>
          </w:p>
        </w:tc>
        <w:tc>
          <w:tcPr>
            <w:tcW w:w="3055" w:type="pct"/>
            <w:vAlign w:val="center"/>
          </w:tcPr>
          <w:p w14:paraId="324612C1" w14:textId="77777777" w:rsidR="00AB2B02" w:rsidRPr="0081375C" w:rsidRDefault="00AB2B02" w:rsidP="008D3E59">
            <w:pPr>
              <w:contextualSpacing/>
              <w:jc w:val="both"/>
              <w:rPr>
                <w:rFonts w:ascii="Arial" w:eastAsia="Arial" w:hAnsi="Arial" w:cs="Arial"/>
                <w:sz w:val="20"/>
                <w:szCs w:val="20"/>
              </w:rPr>
            </w:pPr>
            <w:r w:rsidRPr="0081375C">
              <w:rPr>
                <w:rFonts w:ascii="Arial" w:eastAsia="Arial" w:hAnsi="Arial" w:cs="Arial"/>
                <w:sz w:val="20"/>
                <w:szCs w:val="20"/>
              </w:rPr>
              <w:t>Valor del mantenimiento del cerramiento por metro lineal ($/m)</w:t>
            </w:r>
          </w:p>
        </w:tc>
        <w:tc>
          <w:tcPr>
            <w:tcW w:w="1145" w:type="pct"/>
            <w:vAlign w:val="center"/>
          </w:tcPr>
          <w:p w14:paraId="454A32CE" w14:textId="77777777" w:rsidR="00AB2B02" w:rsidRPr="0081375C" w:rsidRDefault="00AB2B02" w:rsidP="008D3E59">
            <w:pPr>
              <w:ind w:right="364"/>
              <w:contextualSpacing/>
              <w:jc w:val="center"/>
              <w:rPr>
                <w:rFonts w:ascii="Arial" w:eastAsia="Arial" w:hAnsi="Arial" w:cs="Arial"/>
                <w:sz w:val="20"/>
                <w:szCs w:val="20"/>
              </w:rPr>
            </w:pPr>
            <w:r w:rsidRPr="0081375C">
              <w:rPr>
                <w:rFonts w:ascii="Arial" w:eastAsia="Arial" w:hAnsi="Arial" w:cs="Arial"/>
                <w:sz w:val="20"/>
                <w:szCs w:val="20"/>
              </w:rPr>
              <w:t>0,019</w:t>
            </w:r>
          </w:p>
        </w:tc>
      </w:tr>
    </w:tbl>
    <w:p w14:paraId="5BC30447" w14:textId="02A7E109" w:rsidR="00AB2B02" w:rsidRPr="0081375C" w:rsidRDefault="00F91C49" w:rsidP="004A6A68">
      <w:pPr>
        <w:spacing w:line="23" w:lineRule="atLeast"/>
        <w:jc w:val="both"/>
        <w:rPr>
          <w:rFonts w:ascii="Arial" w:eastAsia="Arial" w:hAnsi="Arial" w:cs="Arial"/>
          <w:color w:val="000000" w:themeColor="text1"/>
          <w:sz w:val="18"/>
          <w:szCs w:val="18"/>
        </w:rPr>
      </w:pPr>
      <w:r w:rsidRPr="0081375C">
        <w:rPr>
          <w:rFonts w:ascii="Arial" w:eastAsia="Arial" w:hAnsi="Arial" w:cs="Arial"/>
          <w:color w:val="000000" w:themeColor="text1"/>
          <w:sz w:val="18"/>
          <w:szCs w:val="18"/>
        </w:rPr>
        <w:t xml:space="preserve">Nota: </w:t>
      </w:r>
      <w:r w:rsidR="00B46060" w:rsidRPr="0081375C">
        <w:rPr>
          <w:rFonts w:ascii="Arial" w:eastAsia="Arial" w:hAnsi="Arial" w:cs="Arial"/>
          <w:color w:val="000000" w:themeColor="text1"/>
          <w:sz w:val="18"/>
          <w:szCs w:val="18"/>
        </w:rPr>
        <w:t>En la Resolución Número 202650012636 de 23/02/2026</w:t>
      </w:r>
      <w:r w:rsidR="00FD4C10" w:rsidRPr="0081375C">
        <w:rPr>
          <w:rFonts w:ascii="Arial" w:eastAsia="Arial" w:hAnsi="Arial" w:cs="Arial"/>
          <w:color w:val="000000" w:themeColor="text1"/>
          <w:sz w:val="18"/>
          <w:szCs w:val="18"/>
        </w:rPr>
        <w:t xml:space="preserve"> esta </w:t>
      </w:r>
      <w:r w:rsidRPr="0081375C">
        <w:rPr>
          <w:rFonts w:ascii="Arial" w:eastAsia="Arial" w:hAnsi="Arial" w:cs="Arial"/>
          <w:color w:val="000000" w:themeColor="text1"/>
          <w:sz w:val="18"/>
          <w:szCs w:val="18"/>
        </w:rPr>
        <w:t>tabla</w:t>
      </w:r>
      <w:r w:rsidR="00FD4C10" w:rsidRPr="0081375C">
        <w:rPr>
          <w:rFonts w:ascii="Arial" w:eastAsia="Arial" w:hAnsi="Arial" w:cs="Arial"/>
          <w:color w:val="000000" w:themeColor="text1"/>
          <w:sz w:val="18"/>
          <w:szCs w:val="18"/>
        </w:rPr>
        <w:t xml:space="preserve"> de cita como </w:t>
      </w:r>
      <w:r w:rsidR="00FD4C10" w:rsidRPr="0081375C">
        <w:rPr>
          <w:rFonts w:ascii="Arial" w:eastAsia="Arial" w:hAnsi="Arial" w:cs="Arial"/>
          <w:i/>
          <w:iCs/>
          <w:color w:val="000000" w:themeColor="text1"/>
          <w:sz w:val="18"/>
          <w:szCs w:val="18"/>
        </w:rPr>
        <w:t>“Tabla 15”</w:t>
      </w:r>
    </w:p>
    <w:p w14:paraId="01F3C3C5" w14:textId="77777777" w:rsidR="007A5240" w:rsidRPr="0081375C" w:rsidRDefault="007A5240" w:rsidP="004A6A68">
      <w:pPr>
        <w:spacing w:line="23" w:lineRule="atLeast"/>
        <w:jc w:val="both"/>
        <w:rPr>
          <w:rFonts w:ascii="Arial" w:eastAsia="Arial" w:hAnsi="Arial" w:cs="Arial"/>
          <w:color w:val="000000" w:themeColor="text1"/>
        </w:rPr>
      </w:pPr>
    </w:p>
    <w:p w14:paraId="2BB22961" w14:textId="77777777" w:rsidR="00921CE3" w:rsidRPr="0081375C" w:rsidRDefault="00921CE3" w:rsidP="004A6A68">
      <w:pPr>
        <w:spacing w:line="23" w:lineRule="atLeast"/>
        <w:jc w:val="both"/>
        <w:rPr>
          <w:rFonts w:ascii="Arial" w:eastAsia="Arial" w:hAnsi="Arial" w:cs="Arial"/>
          <w:color w:val="000000" w:themeColor="text1"/>
        </w:rPr>
      </w:pPr>
    </w:p>
    <w:p w14:paraId="026403A7" w14:textId="08243648" w:rsidR="00CD7229" w:rsidRPr="0081375C" w:rsidRDefault="00921CE3" w:rsidP="00921CE3">
      <w:pPr>
        <w:pStyle w:val="Descripcin"/>
        <w:rPr>
          <w:rFonts w:ascii="Arial" w:hAnsi="Arial" w:cs="Arial"/>
          <w:b/>
          <w:bCs/>
          <w:i w:val="0"/>
          <w:iCs w:val="0"/>
          <w:color w:val="auto"/>
          <w:sz w:val="20"/>
          <w:szCs w:val="20"/>
        </w:rPr>
      </w:pPr>
      <w:r w:rsidRPr="0081375C">
        <w:rPr>
          <w:rFonts w:ascii="Arial" w:hAnsi="Arial" w:cs="Arial"/>
          <w:b/>
          <w:bCs/>
          <w:i w:val="0"/>
          <w:iCs w:val="0"/>
          <w:color w:val="auto"/>
          <w:sz w:val="20"/>
          <w:szCs w:val="20"/>
        </w:rPr>
        <w:t xml:space="preserve">Tabla </w:t>
      </w:r>
      <w:r w:rsidRPr="0081375C">
        <w:rPr>
          <w:rFonts w:ascii="Arial" w:hAnsi="Arial" w:cs="Arial"/>
          <w:b/>
          <w:bCs/>
          <w:i w:val="0"/>
          <w:iCs w:val="0"/>
          <w:color w:val="auto"/>
          <w:sz w:val="20"/>
          <w:szCs w:val="20"/>
        </w:rPr>
        <w:fldChar w:fldCharType="begin"/>
      </w:r>
      <w:r w:rsidRPr="0081375C">
        <w:rPr>
          <w:rFonts w:ascii="Arial" w:hAnsi="Arial" w:cs="Arial"/>
          <w:b/>
          <w:bCs/>
          <w:i w:val="0"/>
          <w:iCs w:val="0"/>
          <w:color w:val="auto"/>
          <w:sz w:val="20"/>
          <w:szCs w:val="20"/>
        </w:rPr>
        <w:instrText xml:space="preserve"> SEQ Tabla \* ARABIC </w:instrText>
      </w:r>
      <w:r w:rsidRPr="0081375C">
        <w:rPr>
          <w:rFonts w:ascii="Arial" w:hAnsi="Arial" w:cs="Arial"/>
          <w:b/>
          <w:bCs/>
          <w:i w:val="0"/>
          <w:iCs w:val="0"/>
          <w:color w:val="auto"/>
          <w:sz w:val="20"/>
          <w:szCs w:val="20"/>
        </w:rPr>
        <w:fldChar w:fldCharType="separate"/>
      </w:r>
      <w:r w:rsidRPr="0081375C">
        <w:rPr>
          <w:rFonts w:ascii="Arial" w:hAnsi="Arial" w:cs="Arial"/>
          <w:b/>
          <w:bCs/>
          <w:i w:val="0"/>
          <w:iCs w:val="0"/>
          <w:color w:val="auto"/>
          <w:sz w:val="20"/>
          <w:szCs w:val="20"/>
        </w:rPr>
        <w:t>30</w:t>
      </w:r>
      <w:r w:rsidRPr="0081375C">
        <w:rPr>
          <w:rFonts w:ascii="Arial" w:hAnsi="Arial" w:cs="Arial"/>
          <w:b/>
          <w:bCs/>
          <w:i w:val="0"/>
          <w:iCs w:val="0"/>
          <w:color w:val="auto"/>
          <w:sz w:val="20"/>
          <w:szCs w:val="20"/>
        </w:rPr>
        <w:fldChar w:fldCharType="end"/>
      </w:r>
      <w:r w:rsidRPr="0081375C">
        <w:rPr>
          <w:rFonts w:ascii="Arial" w:hAnsi="Arial" w:cs="Arial"/>
          <w:b/>
          <w:bCs/>
          <w:i w:val="0"/>
          <w:iCs w:val="0"/>
          <w:color w:val="auto"/>
          <w:sz w:val="20"/>
          <w:szCs w:val="20"/>
        </w:rPr>
        <w:t xml:space="preserve">. </w:t>
      </w:r>
      <w:r w:rsidR="00CD7229" w:rsidRPr="0081375C">
        <w:rPr>
          <w:rFonts w:ascii="Arial" w:hAnsi="Arial" w:cs="Arial"/>
          <w:b/>
          <w:bCs/>
          <w:i w:val="0"/>
          <w:iCs w:val="0"/>
          <w:color w:val="auto"/>
          <w:sz w:val="20"/>
          <w:szCs w:val="20"/>
        </w:rPr>
        <w:t>Valor unitario del incentivo económico por acción de PSA, Decreto 1910 de 2016, para la vigencia 2026.</w:t>
      </w:r>
    </w:p>
    <w:tbl>
      <w:tblPr>
        <w:tblW w:w="3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2097"/>
        <w:gridCol w:w="1864"/>
      </w:tblGrid>
      <w:tr w:rsidR="00CD7229" w:rsidRPr="0081375C" w14:paraId="6283EAEA" w14:textId="77777777" w:rsidTr="00921CE3">
        <w:trPr>
          <w:trHeight w:val="315"/>
          <w:jc w:val="center"/>
        </w:trPr>
        <w:tc>
          <w:tcPr>
            <w:tcW w:w="1959" w:type="pct"/>
            <w:shd w:val="clear" w:color="000000" w:fill="FFFFFF"/>
            <w:noWrap/>
            <w:vAlign w:val="bottom"/>
            <w:hideMark/>
          </w:tcPr>
          <w:p w14:paraId="02296C43" w14:textId="77777777" w:rsidR="00CD7229" w:rsidRPr="0081375C" w:rsidRDefault="00CD7229" w:rsidP="008D3E59">
            <w:pPr>
              <w:jc w:val="center"/>
              <w:rPr>
                <w:rFonts w:ascii="Arial" w:eastAsia="Times New Roman" w:hAnsi="Arial" w:cs="Arial"/>
                <w:b/>
                <w:bCs/>
                <w:color w:val="000000"/>
                <w:sz w:val="20"/>
                <w:szCs w:val="20"/>
              </w:rPr>
            </w:pPr>
            <w:r w:rsidRPr="0081375C">
              <w:rPr>
                <w:rFonts w:ascii="Arial" w:eastAsia="Times New Roman" w:hAnsi="Arial" w:cs="Arial"/>
                <w:b/>
                <w:bCs/>
                <w:color w:val="000000"/>
                <w:sz w:val="20"/>
                <w:szCs w:val="20"/>
              </w:rPr>
              <w:t>Acción de PSA</w:t>
            </w:r>
          </w:p>
        </w:tc>
        <w:tc>
          <w:tcPr>
            <w:tcW w:w="1610" w:type="pct"/>
            <w:shd w:val="clear" w:color="000000" w:fill="FFFFFF"/>
            <w:noWrap/>
            <w:vAlign w:val="bottom"/>
            <w:hideMark/>
          </w:tcPr>
          <w:p w14:paraId="0A2AF7CC" w14:textId="77777777" w:rsidR="00CD7229" w:rsidRPr="0081375C" w:rsidRDefault="00CD7229" w:rsidP="008D3E59">
            <w:pPr>
              <w:jc w:val="center"/>
              <w:rPr>
                <w:rFonts w:ascii="Arial" w:eastAsia="Times New Roman" w:hAnsi="Arial" w:cs="Arial"/>
                <w:b/>
                <w:bCs/>
                <w:color w:val="000000"/>
                <w:sz w:val="20"/>
                <w:szCs w:val="20"/>
              </w:rPr>
            </w:pPr>
            <w:r w:rsidRPr="0081375C">
              <w:rPr>
                <w:rFonts w:ascii="Arial" w:eastAsia="Times New Roman" w:hAnsi="Arial" w:cs="Arial"/>
                <w:b/>
                <w:bCs/>
                <w:color w:val="000000"/>
                <w:sz w:val="20"/>
                <w:szCs w:val="20"/>
              </w:rPr>
              <w:t>VALOR</w:t>
            </w:r>
          </w:p>
        </w:tc>
        <w:tc>
          <w:tcPr>
            <w:tcW w:w="1431" w:type="pct"/>
            <w:shd w:val="clear" w:color="000000" w:fill="FFFFFF"/>
            <w:noWrap/>
            <w:vAlign w:val="bottom"/>
            <w:hideMark/>
          </w:tcPr>
          <w:p w14:paraId="2D70FC18" w14:textId="77777777" w:rsidR="00CD7229" w:rsidRPr="0081375C" w:rsidRDefault="00CD7229" w:rsidP="008D3E59">
            <w:pPr>
              <w:jc w:val="center"/>
              <w:rPr>
                <w:rFonts w:ascii="Arial" w:eastAsia="Times New Roman" w:hAnsi="Arial" w:cs="Arial"/>
                <w:b/>
                <w:bCs/>
                <w:color w:val="000000"/>
                <w:sz w:val="20"/>
                <w:szCs w:val="20"/>
              </w:rPr>
            </w:pPr>
            <w:r w:rsidRPr="0081375C">
              <w:rPr>
                <w:rFonts w:ascii="Arial" w:eastAsia="Times New Roman" w:hAnsi="Arial" w:cs="Arial"/>
                <w:b/>
                <w:bCs/>
                <w:color w:val="000000"/>
                <w:sz w:val="20"/>
                <w:szCs w:val="20"/>
              </w:rPr>
              <w:t>SMLV 2026</w:t>
            </w:r>
          </w:p>
        </w:tc>
      </w:tr>
      <w:tr w:rsidR="00CD7229" w:rsidRPr="0081375C" w14:paraId="12065838" w14:textId="77777777" w:rsidTr="00921CE3">
        <w:trPr>
          <w:trHeight w:val="300"/>
          <w:jc w:val="center"/>
        </w:trPr>
        <w:tc>
          <w:tcPr>
            <w:tcW w:w="1959" w:type="pct"/>
            <w:noWrap/>
            <w:vAlign w:val="bottom"/>
            <w:hideMark/>
          </w:tcPr>
          <w:p w14:paraId="79D80B87" w14:textId="77777777" w:rsidR="00CD7229" w:rsidRPr="0081375C" w:rsidRDefault="00CD7229" w:rsidP="008D3E59">
            <w:pPr>
              <w:rPr>
                <w:rFonts w:ascii="Arial" w:eastAsia="Times New Roman" w:hAnsi="Arial" w:cs="Arial"/>
                <w:color w:val="000000"/>
                <w:sz w:val="20"/>
                <w:szCs w:val="20"/>
              </w:rPr>
            </w:pPr>
            <w:r w:rsidRPr="0081375C">
              <w:rPr>
                <w:rFonts w:ascii="Arial" w:eastAsia="Times New Roman" w:hAnsi="Arial" w:cs="Arial"/>
                <w:color w:val="000000"/>
                <w:sz w:val="20"/>
                <w:szCs w:val="20"/>
              </w:rPr>
              <w:t>Valor ha conservación</w:t>
            </w:r>
          </w:p>
        </w:tc>
        <w:tc>
          <w:tcPr>
            <w:tcW w:w="1610" w:type="pct"/>
            <w:noWrap/>
            <w:vAlign w:val="bottom"/>
            <w:hideMark/>
          </w:tcPr>
          <w:p w14:paraId="703F2D94" w14:textId="77777777" w:rsidR="00CD7229" w:rsidRPr="0081375C" w:rsidRDefault="00CD7229" w:rsidP="008D3E59">
            <w:pPr>
              <w:rPr>
                <w:rFonts w:ascii="Arial" w:eastAsia="Times New Roman" w:hAnsi="Arial" w:cs="Arial"/>
                <w:color w:val="000000"/>
                <w:sz w:val="20"/>
                <w:szCs w:val="20"/>
              </w:rPr>
            </w:pPr>
            <w:r w:rsidRPr="0081375C">
              <w:rPr>
                <w:rFonts w:ascii="Arial" w:eastAsia="Times New Roman" w:hAnsi="Arial" w:cs="Arial"/>
                <w:color w:val="000000"/>
                <w:sz w:val="20"/>
                <w:szCs w:val="20"/>
              </w:rPr>
              <w:t xml:space="preserve"> $             1,996,032 </w:t>
            </w:r>
          </w:p>
        </w:tc>
        <w:tc>
          <w:tcPr>
            <w:tcW w:w="1431" w:type="pct"/>
            <w:vMerge w:val="restart"/>
            <w:noWrap/>
            <w:vAlign w:val="bottom"/>
            <w:hideMark/>
          </w:tcPr>
          <w:p w14:paraId="42C48A91" w14:textId="77777777" w:rsidR="00CD7229" w:rsidRPr="0081375C" w:rsidRDefault="00CD7229" w:rsidP="008D3E59">
            <w:pPr>
              <w:rPr>
                <w:rFonts w:ascii="Arial" w:eastAsia="Times New Roman" w:hAnsi="Arial" w:cs="Arial"/>
                <w:color w:val="000000"/>
                <w:sz w:val="20"/>
                <w:szCs w:val="20"/>
              </w:rPr>
            </w:pPr>
            <w:r w:rsidRPr="0081375C">
              <w:rPr>
                <w:rFonts w:ascii="Arial" w:eastAsia="Times New Roman" w:hAnsi="Arial" w:cs="Arial"/>
                <w:color w:val="000000"/>
                <w:sz w:val="20"/>
                <w:szCs w:val="20"/>
              </w:rPr>
              <w:t>$             1,750,905</w:t>
            </w:r>
          </w:p>
          <w:p w14:paraId="0904A3A3" w14:textId="77777777" w:rsidR="00CD7229" w:rsidRPr="0081375C" w:rsidRDefault="00CD7229" w:rsidP="008D3E59">
            <w:pPr>
              <w:rPr>
                <w:rFonts w:ascii="Arial" w:eastAsia="Times New Roman" w:hAnsi="Arial" w:cs="Arial"/>
                <w:color w:val="000000"/>
                <w:sz w:val="20"/>
                <w:szCs w:val="20"/>
              </w:rPr>
            </w:pPr>
            <w:r w:rsidRPr="0081375C">
              <w:rPr>
                <w:rFonts w:ascii="Arial" w:eastAsia="Times New Roman" w:hAnsi="Arial" w:cs="Arial"/>
                <w:color w:val="000000"/>
                <w:sz w:val="20"/>
                <w:szCs w:val="20"/>
              </w:rPr>
              <w:t> </w:t>
            </w:r>
          </w:p>
        </w:tc>
      </w:tr>
      <w:tr w:rsidR="00CD7229" w:rsidRPr="0081375C" w14:paraId="79D000C8" w14:textId="77777777" w:rsidTr="00921CE3">
        <w:trPr>
          <w:trHeight w:val="300"/>
          <w:jc w:val="center"/>
        </w:trPr>
        <w:tc>
          <w:tcPr>
            <w:tcW w:w="1959" w:type="pct"/>
            <w:noWrap/>
            <w:vAlign w:val="bottom"/>
            <w:hideMark/>
          </w:tcPr>
          <w:p w14:paraId="18731212" w14:textId="77777777" w:rsidR="00CD7229" w:rsidRPr="0081375C" w:rsidRDefault="00CD7229" w:rsidP="008D3E59">
            <w:pPr>
              <w:rPr>
                <w:rFonts w:ascii="Arial" w:eastAsia="Times New Roman" w:hAnsi="Arial" w:cs="Arial"/>
                <w:color w:val="000000"/>
                <w:sz w:val="20"/>
                <w:szCs w:val="20"/>
              </w:rPr>
            </w:pPr>
            <w:r w:rsidRPr="0081375C">
              <w:rPr>
                <w:rFonts w:ascii="Arial" w:eastAsia="Times New Roman" w:hAnsi="Arial" w:cs="Arial"/>
                <w:color w:val="000000"/>
                <w:sz w:val="20"/>
                <w:szCs w:val="20"/>
              </w:rPr>
              <w:t>Valor ha restauración</w:t>
            </w:r>
          </w:p>
        </w:tc>
        <w:tc>
          <w:tcPr>
            <w:tcW w:w="1610" w:type="pct"/>
            <w:noWrap/>
            <w:vAlign w:val="bottom"/>
            <w:hideMark/>
          </w:tcPr>
          <w:p w14:paraId="1188F916" w14:textId="77777777" w:rsidR="00CD7229" w:rsidRPr="0081375C" w:rsidRDefault="00CD7229" w:rsidP="008D3E59">
            <w:pPr>
              <w:rPr>
                <w:rFonts w:ascii="Arial" w:eastAsia="Times New Roman" w:hAnsi="Arial" w:cs="Arial"/>
                <w:color w:val="000000"/>
                <w:sz w:val="20"/>
                <w:szCs w:val="20"/>
              </w:rPr>
            </w:pPr>
            <w:r w:rsidRPr="0081375C">
              <w:rPr>
                <w:rFonts w:ascii="Arial" w:eastAsia="Times New Roman" w:hAnsi="Arial" w:cs="Arial"/>
                <w:color w:val="000000"/>
                <w:sz w:val="20"/>
                <w:szCs w:val="20"/>
              </w:rPr>
              <w:t xml:space="preserve"> $             4,867,516 </w:t>
            </w:r>
          </w:p>
        </w:tc>
        <w:tc>
          <w:tcPr>
            <w:tcW w:w="1431" w:type="pct"/>
            <w:vMerge/>
            <w:noWrap/>
            <w:vAlign w:val="bottom"/>
            <w:hideMark/>
          </w:tcPr>
          <w:p w14:paraId="4EC86B7A" w14:textId="77777777" w:rsidR="00CD7229" w:rsidRPr="0081375C" w:rsidRDefault="00CD7229" w:rsidP="008D3E59">
            <w:pPr>
              <w:rPr>
                <w:rFonts w:ascii="Arial" w:eastAsia="Times New Roman" w:hAnsi="Arial" w:cs="Arial"/>
                <w:color w:val="000000"/>
                <w:sz w:val="20"/>
                <w:szCs w:val="20"/>
              </w:rPr>
            </w:pPr>
          </w:p>
        </w:tc>
      </w:tr>
    </w:tbl>
    <w:p w14:paraId="1E4FECCA" w14:textId="07C2D8CA" w:rsidR="00CD7229" w:rsidRPr="0081375C" w:rsidRDefault="00FD4C10" w:rsidP="004A6A68">
      <w:pPr>
        <w:spacing w:line="23" w:lineRule="atLeast"/>
        <w:jc w:val="both"/>
        <w:rPr>
          <w:rFonts w:ascii="Arial" w:eastAsia="Arial" w:hAnsi="Arial" w:cs="Arial"/>
          <w:i/>
          <w:iCs/>
          <w:color w:val="000000" w:themeColor="text1"/>
          <w:sz w:val="18"/>
          <w:szCs w:val="18"/>
        </w:rPr>
      </w:pPr>
      <w:r w:rsidRPr="0081375C">
        <w:rPr>
          <w:rFonts w:ascii="Arial" w:eastAsia="Arial" w:hAnsi="Arial" w:cs="Arial"/>
          <w:color w:val="000000" w:themeColor="text1"/>
          <w:sz w:val="18"/>
          <w:szCs w:val="18"/>
        </w:rPr>
        <w:t xml:space="preserve">Nota: En la Resolución Número 202650012636 de 23/02/2026 </w:t>
      </w:r>
      <w:r w:rsidR="0016097B" w:rsidRPr="0081375C">
        <w:rPr>
          <w:rFonts w:ascii="Arial" w:eastAsia="Arial" w:hAnsi="Arial" w:cs="Arial"/>
          <w:color w:val="000000" w:themeColor="text1"/>
          <w:sz w:val="18"/>
          <w:szCs w:val="18"/>
        </w:rPr>
        <w:t xml:space="preserve">se establece </w:t>
      </w:r>
      <w:r w:rsidR="00693159" w:rsidRPr="0081375C">
        <w:rPr>
          <w:rFonts w:ascii="Arial" w:eastAsia="Arial" w:hAnsi="Arial" w:cs="Arial"/>
          <w:i/>
          <w:iCs/>
          <w:color w:val="000000" w:themeColor="text1"/>
          <w:sz w:val="18"/>
          <w:szCs w:val="18"/>
        </w:rPr>
        <w:t>“agregar una tabla designada como Tabla 16”</w:t>
      </w:r>
    </w:p>
    <w:p w14:paraId="113EC48F" w14:textId="5F756743" w:rsidR="00794E99" w:rsidRPr="0081375C" w:rsidRDefault="004A6A68" w:rsidP="008E7AC9">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 xml:space="preserve"> </w:t>
      </w:r>
    </w:p>
    <w:p w14:paraId="3B3C07F8" w14:textId="6D459A1D" w:rsidR="00825D4D" w:rsidRPr="0081375C" w:rsidRDefault="00806784" w:rsidP="0070084E">
      <w:pPr>
        <w:pStyle w:val="Ttulo2"/>
        <w:numPr>
          <w:ilvl w:val="1"/>
          <w:numId w:val="27"/>
        </w:numPr>
        <w:spacing w:before="0" w:line="23" w:lineRule="atLeast"/>
        <w:rPr>
          <w:rFonts w:ascii="Arial" w:eastAsia="Aptos" w:hAnsi="Arial" w:cs="Arial"/>
          <w:color w:val="000000" w:themeColor="text1"/>
        </w:rPr>
      </w:pPr>
      <w:bookmarkStart w:id="83" w:name="_Toc232154416"/>
      <w:bookmarkStart w:id="84" w:name="_Toc233304188"/>
      <w:r w:rsidRPr="0081375C">
        <w:rPr>
          <w:rFonts w:ascii="Arial" w:eastAsia="Aptos" w:hAnsi="Arial" w:cs="Arial"/>
          <w:color w:val="000000" w:themeColor="text1"/>
        </w:rPr>
        <w:t xml:space="preserve">Etapa de </w:t>
      </w:r>
      <w:r w:rsidR="00687328" w:rsidRPr="0081375C">
        <w:rPr>
          <w:rFonts w:ascii="Arial" w:eastAsia="Aptos" w:hAnsi="Arial" w:cs="Arial"/>
          <w:color w:val="000000" w:themeColor="text1"/>
        </w:rPr>
        <w:t>E</w:t>
      </w:r>
      <w:r w:rsidRPr="0081375C">
        <w:rPr>
          <w:rFonts w:ascii="Arial" w:eastAsia="Aptos" w:hAnsi="Arial" w:cs="Arial"/>
          <w:color w:val="000000" w:themeColor="text1"/>
        </w:rPr>
        <w:t>jecución</w:t>
      </w:r>
      <w:bookmarkEnd w:id="83"/>
      <w:bookmarkEnd w:id="84"/>
    </w:p>
    <w:p w14:paraId="1541DB73" w14:textId="77777777" w:rsidR="00882F6D" w:rsidRPr="0081375C" w:rsidRDefault="00882F6D" w:rsidP="00882F6D">
      <w:pPr>
        <w:rPr>
          <w:rFonts w:ascii="Arial" w:hAnsi="Arial" w:cs="Arial"/>
        </w:rPr>
      </w:pPr>
    </w:p>
    <w:p w14:paraId="762B4C35" w14:textId="73037930"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ejecución abarca el conjunto de actividades que se desarrollan desde la vigencia de los acuerdos hasta el reconocimiento del pago. Está organizada </w:t>
      </w:r>
      <w:r w:rsidR="0D902C56" w:rsidRPr="0081375C">
        <w:rPr>
          <w:rFonts w:ascii="Arial" w:eastAsia="Arial" w:hAnsi="Arial" w:cs="Arial"/>
          <w:color w:val="000000" w:themeColor="text1"/>
        </w:rPr>
        <w:t>las siguientes</w:t>
      </w:r>
      <w:r w:rsidRPr="0081375C">
        <w:rPr>
          <w:rFonts w:ascii="Arial" w:eastAsia="Arial" w:hAnsi="Arial" w:cs="Arial"/>
          <w:color w:val="000000" w:themeColor="text1"/>
        </w:rPr>
        <w:t xml:space="preserve"> subsecciones: el establecimiento de las acciones técnicas de campo, las acciones de naturaleza comportamental, el registro de los predios ante la autoridad ambiental, el seguimiento continuo de los acuerdos, el monitoreo de buenas prácticas productivas, el procedimiento ante incumplimientos y causales de terminación, la construcción y socialización de informes, y el reconocimiento y gestión del pago.</w:t>
      </w:r>
    </w:p>
    <w:p w14:paraId="1DFC10F2" w14:textId="77777777" w:rsidR="00882F6D" w:rsidRPr="0081375C" w:rsidRDefault="00882F6D" w:rsidP="003F6B53">
      <w:pPr>
        <w:spacing w:line="23" w:lineRule="atLeast"/>
        <w:jc w:val="both"/>
        <w:rPr>
          <w:rFonts w:ascii="Arial" w:eastAsia="Aptos" w:hAnsi="Arial" w:cs="Arial"/>
          <w:color w:val="000000" w:themeColor="text1"/>
        </w:rPr>
      </w:pPr>
    </w:p>
    <w:p w14:paraId="30818053" w14:textId="4F9A18FC" w:rsidR="00825D4D" w:rsidRPr="0081375C" w:rsidRDefault="14290C32" w:rsidP="0070084E">
      <w:pPr>
        <w:pStyle w:val="Ttulo3"/>
        <w:numPr>
          <w:ilvl w:val="2"/>
          <w:numId w:val="27"/>
        </w:numPr>
        <w:spacing w:beforeAutospacing="0" w:afterAutospacing="0" w:line="23" w:lineRule="atLeast"/>
        <w:rPr>
          <w:color w:val="000000" w:themeColor="text1"/>
          <w:lang w:val="es-CO"/>
        </w:rPr>
      </w:pPr>
      <w:bookmarkStart w:id="85" w:name="_Toc232154417"/>
      <w:bookmarkStart w:id="86" w:name="_Toc233304189"/>
      <w:r w:rsidRPr="0081375C">
        <w:rPr>
          <w:color w:val="000000" w:themeColor="text1"/>
          <w:lang w:val="es-CO"/>
        </w:rPr>
        <w:t>Intervenciones</w:t>
      </w:r>
      <w:r w:rsidR="00806784" w:rsidRPr="0081375C">
        <w:rPr>
          <w:color w:val="000000" w:themeColor="text1"/>
          <w:lang w:val="es-CO"/>
        </w:rPr>
        <w:t xml:space="preserve"> de </w:t>
      </w:r>
      <w:r w:rsidR="00687328" w:rsidRPr="0081375C">
        <w:rPr>
          <w:color w:val="000000" w:themeColor="text1"/>
          <w:lang w:val="es-CO"/>
        </w:rPr>
        <w:t>C</w:t>
      </w:r>
      <w:r w:rsidR="00806784" w:rsidRPr="0081375C">
        <w:rPr>
          <w:color w:val="000000" w:themeColor="text1"/>
          <w:lang w:val="es-CO"/>
        </w:rPr>
        <w:t>ampo</w:t>
      </w:r>
      <w:bookmarkEnd w:id="85"/>
      <w:bookmarkEnd w:id="86"/>
    </w:p>
    <w:p w14:paraId="6E9B62C4" w14:textId="77777777" w:rsidR="003457A4" w:rsidRPr="0081375C" w:rsidRDefault="003457A4" w:rsidP="003F6B53">
      <w:pPr>
        <w:spacing w:line="23" w:lineRule="atLeast"/>
        <w:jc w:val="both"/>
        <w:rPr>
          <w:rFonts w:ascii="Arial" w:eastAsia="Arial" w:hAnsi="Arial" w:cs="Arial"/>
          <w:color w:val="000000" w:themeColor="text1"/>
        </w:rPr>
      </w:pPr>
    </w:p>
    <w:p w14:paraId="64D06DAB" w14:textId="75FC6429"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Las acciones de campo se establecen al inicio de la vigencia del acuerdo y constituyen la base técnica de la intervención predial. Esta subsección describe dos actividades: las acciones de conservación y restauración que el beneficiario debe ejecutar sobre el predio, y el montaje de los protocolos de monitoreo biofísico que permitirán dar seguimiento al estado de los servicios ecosistémicos a lo largo del ciclo.</w:t>
      </w:r>
    </w:p>
    <w:p w14:paraId="2B0C2924" w14:textId="77777777" w:rsidR="00825D4D" w:rsidRPr="0081375C" w:rsidRDefault="00825D4D" w:rsidP="003F6B53">
      <w:pPr>
        <w:spacing w:line="23" w:lineRule="atLeast"/>
        <w:jc w:val="both"/>
        <w:rPr>
          <w:rFonts w:ascii="Arial" w:eastAsia="Aptos" w:hAnsi="Arial" w:cs="Arial"/>
          <w:color w:val="000000" w:themeColor="text1"/>
        </w:rPr>
      </w:pPr>
    </w:p>
    <w:p w14:paraId="01437DAA" w14:textId="7DEE5365" w:rsidR="00825D4D" w:rsidRPr="0081375C" w:rsidRDefault="387F3BAB" w:rsidP="729FED67">
      <w:pPr>
        <w:pStyle w:val="Ttulo4"/>
        <w:spacing w:before="0" w:after="0" w:line="23" w:lineRule="atLeast"/>
        <w:rPr>
          <w:rFonts w:eastAsia="Aptos" w:cs="Arial"/>
          <w:bCs/>
          <w:color w:val="000000" w:themeColor="text1"/>
        </w:rPr>
      </w:pPr>
      <w:bookmarkStart w:id="87" w:name="_Toc233304190"/>
      <w:r w:rsidRPr="0081375C">
        <w:rPr>
          <w:rFonts w:eastAsia="Aptos" w:cs="Arial"/>
          <w:color w:val="000000" w:themeColor="text1"/>
        </w:rPr>
        <w:t>Intervenciones</w:t>
      </w:r>
      <w:r w:rsidR="00806784" w:rsidRPr="0081375C">
        <w:rPr>
          <w:rFonts w:eastAsia="Aptos" w:cs="Arial"/>
          <w:bCs/>
          <w:color w:val="000000" w:themeColor="text1"/>
        </w:rPr>
        <w:t xml:space="preserve"> de </w:t>
      </w:r>
      <w:r w:rsidR="008C6DD2" w:rsidRPr="0081375C">
        <w:rPr>
          <w:rFonts w:eastAsia="Aptos" w:cs="Arial"/>
          <w:bCs/>
          <w:color w:val="000000" w:themeColor="text1"/>
        </w:rPr>
        <w:t>Preservación</w:t>
      </w:r>
      <w:r w:rsidR="00806784" w:rsidRPr="0081375C">
        <w:rPr>
          <w:rFonts w:eastAsia="Aptos" w:cs="Arial"/>
          <w:bCs/>
          <w:color w:val="000000" w:themeColor="text1"/>
        </w:rPr>
        <w:t xml:space="preserve"> y </w:t>
      </w:r>
      <w:r w:rsidR="002C480E" w:rsidRPr="0081375C">
        <w:rPr>
          <w:rFonts w:eastAsia="Aptos" w:cs="Arial"/>
          <w:bCs/>
          <w:color w:val="000000" w:themeColor="text1"/>
        </w:rPr>
        <w:t>R</w:t>
      </w:r>
      <w:r w:rsidR="00806784" w:rsidRPr="0081375C">
        <w:rPr>
          <w:rFonts w:eastAsia="Aptos" w:cs="Arial"/>
          <w:bCs/>
          <w:color w:val="000000" w:themeColor="text1"/>
        </w:rPr>
        <w:t>estauración</w:t>
      </w:r>
      <w:bookmarkEnd w:id="87"/>
    </w:p>
    <w:p w14:paraId="57E583D9" w14:textId="77777777" w:rsidR="00882F6D" w:rsidRPr="0081375C" w:rsidRDefault="00882F6D" w:rsidP="00882F6D">
      <w:pPr>
        <w:rPr>
          <w:rFonts w:ascii="Arial" w:hAnsi="Arial" w:cs="Arial"/>
        </w:rPr>
      </w:pPr>
    </w:p>
    <w:p w14:paraId="3489C8C2" w14:textId="25819B78"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Las acciones de conservación y restauración son las intervenciones directas que el participante ejecuta en el predio a partir de la firma del acuerdo de pago. El referente operativo es el informe de evaluación de predios elaborado durante la vinculación del predio al esquema, que define la acción asignada a cada área, los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documentados y, cuando aplica, la delimitación y longitud de los cercos requeridos. </w:t>
      </w:r>
      <w:r w:rsidR="53ABCE9C" w:rsidRPr="0081375C">
        <w:rPr>
          <w:rFonts w:ascii="Arial" w:eastAsia="Arial" w:hAnsi="Arial" w:cs="Arial"/>
          <w:color w:val="000000" w:themeColor="text1"/>
        </w:rPr>
        <w:t xml:space="preserve">Las </w:t>
      </w:r>
      <w:r w:rsidR="0AB3CF26" w:rsidRPr="0081375C">
        <w:rPr>
          <w:rFonts w:ascii="Arial" w:eastAsia="Arial" w:hAnsi="Arial" w:cs="Arial"/>
          <w:color w:val="000000" w:themeColor="text1"/>
        </w:rPr>
        <w:t>intervenciones</w:t>
      </w:r>
      <w:r w:rsidR="00794E99" w:rsidRPr="0081375C">
        <w:rPr>
          <w:rFonts w:ascii="Arial" w:eastAsia="Arial" w:hAnsi="Arial" w:cs="Arial"/>
          <w:color w:val="000000" w:themeColor="text1"/>
        </w:rPr>
        <w:t xml:space="preserve"> </w:t>
      </w:r>
      <w:r w:rsidRPr="0081375C">
        <w:rPr>
          <w:rFonts w:ascii="Arial" w:eastAsia="Arial" w:hAnsi="Arial" w:cs="Arial"/>
          <w:color w:val="000000" w:themeColor="text1"/>
        </w:rPr>
        <w:t>deben estar implementadas en su fase inicial dentro de los tres meses siguientes a la firma del acuerdo.</w:t>
      </w:r>
    </w:p>
    <w:p w14:paraId="24098AB1" w14:textId="77777777" w:rsidR="00882F6D" w:rsidRPr="0081375C" w:rsidRDefault="00882F6D" w:rsidP="003F6B53">
      <w:pPr>
        <w:spacing w:line="23" w:lineRule="atLeast"/>
        <w:jc w:val="both"/>
        <w:rPr>
          <w:rFonts w:ascii="Arial" w:eastAsia="Aptos" w:hAnsi="Arial" w:cs="Arial"/>
          <w:color w:val="000000" w:themeColor="text1"/>
        </w:rPr>
      </w:pPr>
    </w:p>
    <w:p w14:paraId="62EE2C23" w14:textId="61EA4461"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las áreas bajo preservación, la intervención activa solo se justifica cuando el informe identificó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En ese caso se implementan las </w:t>
      </w:r>
      <w:r w:rsidR="07BAAFC2" w:rsidRPr="0081375C">
        <w:rPr>
          <w:rFonts w:ascii="Arial" w:eastAsia="Arial" w:hAnsi="Arial" w:cs="Arial"/>
          <w:color w:val="000000" w:themeColor="text1"/>
        </w:rPr>
        <w:t>labores</w:t>
      </w:r>
      <w:r w:rsidRPr="0081375C">
        <w:rPr>
          <w:rFonts w:ascii="Arial" w:eastAsia="Arial" w:hAnsi="Arial" w:cs="Arial"/>
          <w:color w:val="000000" w:themeColor="text1"/>
        </w:rPr>
        <w:t xml:space="preserve"> de control indicadas (cercos de aislamiento, manejo de especies invasoras, control de otros agentes de perturbación), con orientación y acompañamiento del equipo técnico. Cuando no hay </w:t>
      </w:r>
      <w:proofErr w:type="spellStart"/>
      <w:r w:rsidRPr="0081375C">
        <w:rPr>
          <w:rFonts w:ascii="Arial" w:eastAsia="Arial" w:hAnsi="Arial" w:cs="Arial"/>
          <w:color w:val="000000" w:themeColor="text1"/>
        </w:rPr>
        <w:lastRenderedPageBreak/>
        <w:t>tensionantes</w:t>
      </w:r>
      <w:proofErr w:type="spellEnd"/>
      <w:r w:rsidRPr="0081375C">
        <w:rPr>
          <w:rFonts w:ascii="Arial" w:eastAsia="Arial" w:hAnsi="Arial" w:cs="Arial"/>
          <w:color w:val="000000" w:themeColor="text1"/>
        </w:rPr>
        <w:t xml:space="preserve"> no se requiere intervención; el equipo registra el estado inicial del área como punto de partida para el seguimiento.</w:t>
      </w:r>
    </w:p>
    <w:p w14:paraId="1A676EA0" w14:textId="77777777" w:rsidR="00882F6D" w:rsidRPr="0081375C" w:rsidRDefault="00882F6D" w:rsidP="003F6B53">
      <w:pPr>
        <w:spacing w:line="23" w:lineRule="atLeast"/>
        <w:jc w:val="both"/>
        <w:rPr>
          <w:rFonts w:ascii="Arial" w:eastAsia="Aptos" w:hAnsi="Arial" w:cs="Arial"/>
          <w:color w:val="000000" w:themeColor="text1"/>
        </w:rPr>
      </w:pPr>
    </w:p>
    <w:p w14:paraId="77D40C60" w14:textId="251C8842"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En las áreas bajo restauración, la primera </w:t>
      </w:r>
      <w:r w:rsidR="1B0BAE65" w:rsidRPr="0081375C">
        <w:rPr>
          <w:rFonts w:ascii="Arial" w:eastAsia="Arial" w:hAnsi="Arial" w:cs="Arial"/>
          <w:color w:val="000000" w:themeColor="text1"/>
        </w:rPr>
        <w:t>medida</w:t>
      </w:r>
      <w:r w:rsidRPr="0081375C">
        <w:rPr>
          <w:rFonts w:ascii="Arial" w:eastAsia="Arial" w:hAnsi="Arial" w:cs="Arial"/>
          <w:color w:val="000000" w:themeColor="text1"/>
        </w:rPr>
        <w:t xml:space="preserve"> es la instalación del aislamiento el cual queda consignado en el informe de evaluación, siguiendo la delimitación y la longitud de cercos concertada con el participante en la visita técnica. A continuación, se ejecutan las actividades de restauración bajo los enfoques asistida (activa) y espontanea (pasiva) conforme al informe. Para predios con uso productivo, las actividades incluyen intervenciones en retiros de quebradas, zonas de alta pendiente, cárcavas y afloramientos, articuladas con el acompañamiento en buenas prácticas productivas. </w:t>
      </w:r>
    </w:p>
    <w:p w14:paraId="0AAA80F3" w14:textId="77777777" w:rsidR="00882F6D" w:rsidRPr="0081375C" w:rsidRDefault="00882F6D" w:rsidP="003F6B53">
      <w:pPr>
        <w:spacing w:line="23" w:lineRule="atLeast"/>
        <w:jc w:val="both"/>
        <w:rPr>
          <w:rFonts w:ascii="Arial" w:eastAsia="Aptos" w:hAnsi="Arial" w:cs="Arial"/>
          <w:color w:val="000000" w:themeColor="text1"/>
        </w:rPr>
      </w:pPr>
    </w:p>
    <w:p w14:paraId="7AFC684B" w14:textId="172D8778" w:rsidR="00825D4D" w:rsidRPr="0081375C" w:rsidRDefault="00825D4D" w:rsidP="003F6B53">
      <w:pPr>
        <w:spacing w:line="23" w:lineRule="atLeast"/>
        <w:jc w:val="both"/>
        <w:rPr>
          <w:rFonts w:ascii="Arial" w:eastAsia="Arial" w:hAnsi="Arial" w:cs="Arial"/>
          <w:b/>
          <w:bCs/>
          <w:i/>
          <w:iCs/>
          <w:color w:val="000000" w:themeColor="text1"/>
        </w:rPr>
      </w:pPr>
      <w:r w:rsidRPr="0081375C">
        <w:rPr>
          <w:rFonts w:ascii="Arial" w:eastAsia="Arial" w:hAnsi="Arial" w:cs="Arial"/>
          <w:color w:val="000000" w:themeColor="text1"/>
        </w:rPr>
        <w:t xml:space="preserve">Las áreas en las cuales se identificó la necesidad de realizar medidas de </w:t>
      </w:r>
      <w:r w:rsidR="00882F6D" w:rsidRPr="0081375C">
        <w:rPr>
          <w:rFonts w:ascii="Arial" w:eastAsia="Arial" w:hAnsi="Arial" w:cs="Arial"/>
          <w:color w:val="000000" w:themeColor="text1"/>
        </w:rPr>
        <w:t>restauración</w:t>
      </w:r>
      <w:r w:rsidRPr="0081375C">
        <w:rPr>
          <w:rFonts w:ascii="Arial" w:eastAsia="Arial" w:hAnsi="Arial" w:cs="Arial"/>
          <w:color w:val="000000" w:themeColor="text1"/>
        </w:rPr>
        <w:t xml:space="preserve"> deberán ser monitoreadas por el equipo técnico durante los tres meses siguientes a la firma del acuerdo, elaborando el informe que documenta las intervenciones realizadas y constituye la línea base para el seguimiento al avance de la restauración. En ambos casos, restauración asistida y espontanea, pueden documentarse en el informe de seguimiento para la verificación del pago del primer trimestre </w:t>
      </w:r>
      <w:r w:rsidRPr="0081375C">
        <w:rPr>
          <w:rFonts w:ascii="Arial" w:hAnsi="Arial" w:cs="Arial"/>
          <w:b/>
          <w:bCs/>
          <w:i/>
          <w:iCs/>
          <w:color w:val="000000" w:themeColor="text1"/>
        </w:rPr>
        <w:t>FO-GEAM Informe de Seguimiento del Pago por Servicios Ambientales</w:t>
      </w:r>
      <w:r w:rsidRPr="0081375C">
        <w:rPr>
          <w:rFonts w:ascii="Arial" w:eastAsia="Arial" w:hAnsi="Arial" w:cs="Arial"/>
          <w:b/>
          <w:bCs/>
          <w:i/>
          <w:iCs/>
          <w:color w:val="000000" w:themeColor="text1"/>
        </w:rPr>
        <w:t xml:space="preserve">. </w:t>
      </w:r>
    </w:p>
    <w:p w14:paraId="0620ED20" w14:textId="77777777" w:rsidR="00882F6D" w:rsidRPr="0081375C" w:rsidRDefault="00882F6D" w:rsidP="003F6B53">
      <w:pPr>
        <w:spacing w:line="23" w:lineRule="atLeast"/>
        <w:jc w:val="both"/>
        <w:rPr>
          <w:rFonts w:ascii="Arial" w:eastAsia="Arial" w:hAnsi="Arial" w:cs="Arial"/>
          <w:b/>
          <w:bCs/>
          <w:i/>
          <w:iCs/>
          <w:color w:val="000000" w:themeColor="text1"/>
        </w:rPr>
      </w:pPr>
    </w:p>
    <w:p w14:paraId="0A8E79F2" w14:textId="6C317B71"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 los dos años y medio del acuerdo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 xml:space="preserve"> + 2,5 años) se realiza una evaluación de punto medio de las áreas en restauración. Si el área ha alcanzado un desarrollo de cobertura suficiente para operar como área de preservación, el acuerdo puede modificarse para reasignar esa acción. Si no, las actividades de restauración continúan conforme al plan definido. La evaluación final se produce al cierre del acuerdo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 xml:space="preserve"> + 5 años).</w:t>
      </w:r>
    </w:p>
    <w:p w14:paraId="7C8BBE6E" w14:textId="7386D685" w:rsidR="00882F6D" w:rsidRPr="0081375C" w:rsidRDefault="00882F6D" w:rsidP="003F6B53">
      <w:pPr>
        <w:spacing w:line="23" w:lineRule="atLeast"/>
        <w:jc w:val="both"/>
        <w:rPr>
          <w:rFonts w:ascii="Arial" w:eastAsia="Aptos" w:hAnsi="Arial" w:cs="Arial"/>
          <w:color w:val="000000" w:themeColor="text1"/>
        </w:rPr>
      </w:pPr>
    </w:p>
    <w:p w14:paraId="16E8EA38" w14:textId="5C21273E" w:rsidR="00825D4D" w:rsidRPr="0081375C" w:rsidRDefault="00806784" w:rsidP="00882F6D">
      <w:pPr>
        <w:spacing w:line="23" w:lineRule="atLeast"/>
        <w:mirrorIndents/>
        <w:jc w:val="both"/>
        <w:rPr>
          <w:rFonts w:ascii="Arial" w:hAnsi="Arial" w:cs="Arial"/>
          <w:b/>
          <w:bCs/>
          <w:color w:val="000000" w:themeColor="text1"/>
          <w:sz w:val="20"/>
          <w:szCs w:val="20"/>
        </w:rPr>
      </w:pPr>
      <w:bookmarkStart w:id="88" w:name="_Toc233040678"/>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31</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Cronograma de seguimiento</w:t>
      </w:r>
      <w:bookmarkEnd w:id="88"/>
      <w:r w:rsidRPr="0081375C">
        <w:rPr>
          <w:rFonts w:ascii="Arial" w:hAnsi="Arial" w:cs="Arial"/>
          <w:b/>
          <w:bCs/>
          <w:color w:val="000000" w:themeColor="text1"/>
          <w:sz w:val="20"/>
          <w:szCs w:val="20"/>
        </w:rPr>
        <w:t xml:space="preserve"> </w:t>
      </w:r>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5807"/>
        <w:gridCol w:w="2829"/>
      </w:tblGrid>
      <w:tr w:rsidR="00825D4D" w:rsidRPr="0081375C" w14:paraId="682EE3AC" w14:textId="77777777" w:rsidTr="008E7AC9">
        <w:trPr>
          <w:trHeight w:val="20"/>
          <w:tblHeader/>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6E2DC1" w14:textId="77777777"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Hito</w:t>
            </w:r>
          </w:p>
        </w:tc>
        <w:tc>
          <w:tcPr>
            <w:tcW w:w="28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DDFC90" w14:textId="77777777"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Referencia temporal</w:t>
            </w:r>
          </w:p>
        </w:tc>
      </w:tr>
      <w:tr w:rsidR="00825D4D" w:rsidRPr="0081375C" w14:paraId="5674A7D0" w14:textId="77777777" w:rsidTr="008E7AC9">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E12E23" w14:textId="77777777"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Firma del acuerdo (t</w:t>
            </w:r>
            <w:r w:rsidRPr="0081375C">
              <w:rPr>
                <w:rFonts w:ascii="Cambria Math" w:eastAsia="Arial" w:hAnsi="Cambria Math" w:cs="Cambria Math"/>
                <w:color w:val="000000" w:themeColor="text1"/>
                <w:sz w:val="20"/>
                <w:szCs w:val="20"/>
              </w:rPr>
              <w:t>₀</w:t>
            </w:r>
            <w:r w:rsidRPr="0081375C">
              <w:rPr>
                <w:rFonts w:ascii="Arial" w:eastAsia="Arial" w:hAnsi="Arial" w:cs="Arial"/>
                <w:color w:val="000000" w:themeColor="text1"/>
                <w:sz w:val="20"/>
                <w:szCs w:val="20"/>
              </w:rPr>
              <w:t>)</w:t>
            </w:r>
          </w:p>
        </w:tc>
        <w:tc>
          <w:tcPr>
            <w:tcW w:w="28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3E567" w14:textId="77777777"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Inicio del ciclo</w:t>
            </w:r>
          </w:p>
        </w:tc>
      </w:tr>
      <w:tr w:rsidR="00825D4D" w:rsidRPr="0081375C" w14:paraId="25E21410" w14:textId="77777777" w:rsidTr="008E7AC9">
        <w:trPr>
          <w:trHeight w:val="111"/>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56B918" w14:textId="2C779288"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Visita de seguimiento</w:t>
            </w:r>
          </w:p>
        </w:tc>
        <w:tc>
          <w:tcPr>
            <w:tcW w:w="28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07A217" w14:textId="37AE3E60" w:rsidR="00825D4D" w:rsidRPr="0081375C" w:rsidRDefault="53ABCE9C" w:rsidP="00B360D1">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w:t>
            </w:r>
            <w:r w:rsidRPr="0081375C">
              <w:rPr>
                <w:rFonts w:ascii="Cambria Math" w:eastAsia="Arial" w:hAnsi="Cambria Math" w:cs="Cambria Math"/>
                <w:color w:val="000000" w:themeColor="text1"/>
                <w:sz w:val="20"/>
                <w:szCs w:val="20"/>
              </w:rPr>
              <w:t>₀</w:t>
            </w:r>
            <w:r w:rsidRPr="0081375C">
              <w:rPr>
                <w:rFonts w:ascii="Arial" w:eastAsia="Arial" w:hAnsi="Arial" w:cs="Arial"/>
                <w:color w:val="000000" w:themeColor="text1"/>
                <w:sz w:val="20"/>
                <w:szCs w:val="20"/>
              </w:rPr>
              <w:t xml:space="preserve"> +</w:t>
            </w:r>
            <w:r w:rsidR="469B958F" w:rsidRPr="0081375C">
              <w:rPr>
                <w:rFonts w:ascii="Arial" w:eastAsia="Arial" w:hAnsi="Arial" w:cs="Arial"/>
                <w:color w:val="000000" w:themeColor="text1"/>
                <w:sz w:val="20"/>
                <w:szCs w:val="20"/>
              </w:rPr>
              <w:t xml:space="preserve"> </w:t>
            </w:r>
            <w:r w:rsidR="13729725" w:rsidRPr="0081375C">
              <w:rPr>
                <w:rFonts w:ascii="Arial" w:eastAsia="Arial" w:hAnsi="Arial" w:cs="Arial"/>
                <w:color w:val="000000" w:themeColor="text1"/>
                <w:sz w:val="20"/>
                <w:szCs w:val="20"/>
              </w:rPr>
              <w:t>1,5</w:t>
            </w:r>
            <w:r w:rsidRPr="0081375C">
              <w:rPr>
                <w:rFonts w:ascii="Arial" w:eastAsia="Arial" w:hAnsi="Arial" w:cs="Arial"/>
                <w:color w:val="000000" w:themeColor="text1"/>
                <w:sz w:val="20"/>
                <w:szCs w:val="20"/>
              </w:rPr>
              <w:t xml:space="preserve"> meses</w:t>
            </w:r>
            <w:r w:rsidR="631EB69A" w:rsidRPr="0081375C">
              <w:rPr>
                <w:rFonts w:ascii="Arial" w:eastAsia="Arial" w:hAnsi="Arial" w:cs="Arial"/>
                <w:color w:val="000000" w:themeColor="text1"/>
                <w:sz w:val="20"/>
                <w:szCs w:val="20"/>
              </w:rPr>
              <w:t xml:space="preserve"> con plazo máximo de 3 meses</w:t>
            </w:r>
          </w:p>
        </w:tc>
      </w:tr>
      <w:tr w:rsidR="00825D4D" w:rsidRPr="0081375C" w14:paraId="76813994" w14:textId="77777777" w:rsidTr="008E7AC9">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287D21" w14:textId="55513262" w:rsidR="00825D4D" w:rsidRPr="0081375C" w:rsidRDefault="00806784">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Plazo máximo para implementación de </w:t>
            </w:r>
            <w:r w:rsidR="2134CD96" w:rsidRPr="0081375C">
              <w:rPr>
                <w:rFonts w:ascii="Arial" w:eastAsia="Arial" w:hAnsi="Arial" w:cs="Arial"/>
                <w:color w:val="000000" w:themeColor="text1"/>
                <w:sz w:val="20"/>
                <w:szCs w:val="20"/>
              </w:rPr>
              <w:t>medidas</w:t>
            </w:r>
            <w:r w:rsidRPr="0081375C">
              <w:rPr>
                <w:rFonts w:ascii="Arial" w:eastAsia="Arial" w:hAnsi="Arial" w:cs="Arial"/>
                <w:color w:val="000000" w:themeColor="text1"/>
                <w:sz w:val="20"/>
                <w:szCs w:val="20"/>
              </w:rPr>
              <w:t xml:space="preserve"> iniciales de las acciones de preservación y restauración</w:t>
            </w:r>
          </w:p>
        </w:tc>
        <w:tc>
          <w:tcPr>
            <w:tcW w:w="28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555A97" w14:textId="44246E9C" w:rsidR="00825D4D" w:rsidRPr="0081375C" w:rsidRDefault="00806784" w:rsidP="00B360D1">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t</w:t>
            </w:r>
            <w:r w:rsidRPr="0081375C">
              <w:rPr>
                <w:rFonts w:ascii="Cambria Math" w:eastAsia="Arial" w:hAnsi="Cambria Math" w:cs="Cambria Math"/>
                <w:color w:val="000000" w:themeColor="text1"/>
                <w:sz w:val="20"/>
                <w:szCs w:val="20"/>
              </w:rPr>
              <w:t>₀</w:t>
            </w:r>
            <w:r w:rsidRPr="0081375C">
              <w:rPr>
                <w:rFonts w:ascii="Arial" w:eastAsia="Arial" w:hAnsi="Arial" w:cs="Arial"/>
                <w:color w:val="000000" w:themeColor="text1"/>
                <w:sz w:val="20"/>
                <w:szCs w:val="20"/>
              </w:rPr>
              <w:t xml:space="preserve"> + 3 meses</w:t>
            </w:r>
          </w:p>
        </w:tc>
      </w:tr>
      <w:tr w:rsidR="00825D4D" w:rsidRPr="0081375C" w14:paraId="779FCDB1" w14:textId="77777777" w:rsidTr="008E7AC9">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8AE417" w14:textId="1BB72160"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Evaluación de punto medio de las acciones de preservación y restauración</w:t>
            </w:r>
          </w:p>
        </w:tc>
        <w:tc>
          <w:tcPr>
            <w:tcW w:w="28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D33FA" w14:textId="77777777"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w:t>
            </w:r>
            <w:r w:rsidRPr="0081375C">
              <w:rPr>
                <w:rFonts w:ascii="Cambria Math" w:eastAsia="Arial" w:hAnsi="Cambria Math" w:cs="Cambria Math"/>
                <w:color w:val="000000" w:themeColor="text1"/>
                <w:sz w:val="20"/>
                <w:szCs w:val="20"/>
              </w:rPr>
              <w:t>₀</w:t>
            </w:r>
            <w:r w:rsidRPr="0081375C">
              <w:rPr>
                <w:rFonts w:ascii="Arial" w:eastAsia="Arial" w:hAnsi="Arial" w:cs="Arial"/>
                <w:color w:val="000000" w:themeColor="text1"/>
                <w:sz w:val="20"/>
                <w:szCs w:val="20"/>
              </w:rPr>
              <w:t xml:space="preserve"> + 2,5 años</w:t>
            </w:r>
          </w:p>
        </w:tc>
      </w:tr>
      <w:tr w:rsidR="00825D4D" w:rsidRPr="0081375C" w14:paraId="0270AECF" w14:textId="77777777" w:rsidTr="008E7AC9">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A2F144" w14:textId="35CD88B0"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Evaluación </w:t>
            </w:r>
            <w:r w:rsidR="0066DBC3" w:rsidRPr="0081375C">
              <w:rPr>
                <w:rFonts w:ascii="Arial" w:eastAsia="Arial" w:hAnsi="Arial" w:cs="Arial"/>
                <w:color w:val="000000" w:themeColor="text1"/>
                <w:sz w:val="20"/>
                <w:szCs w:val="20"/>
              </w:rPr>
              <w:t>final de</w:t>
            </w:r>
            <w:r w:rsidRPr="0081375C">
              <w:rPr>
                <w:rFonts w:ascii="Arial" w:eastAsia="Arial" w:hAnsi="Arial" w:cs="Arial"/>
                <w:color w:val="000000" w:themeColor="text1"/>
                <w:sz w:val="20"/>
                <w:szCs w:val="20"/>
              </w:rPr>
              <w:t xml:space="preserve"> las acciones de restauración y cierre del acuerdo</w:t>
            </w:r>
          </w:p>
        </w:tc>
        <w:tc>
          <w:tcPr>
            <w:tcW w:w="28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0EA22F" w14:textId="77777777" w:rsidR="00825D4D" w:rsidRPr="0081375C" w:rsidRDefault="00806784" w:rsidP="00B360D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w:t>
            </w:r>
            <w:r w:rsidRPr="0081375C">
              <w:rPr>
                <w:rFonts w:ascii="Cambria Math" w:eastAsia="Arial" w:hAnsi="Cambria Math" w:cs="Cambria Math"/>
                <w:color w:val="000000" w:themeColor="text1"/>
                <w:sz w:val="20"/>
                <w:szCs w:val="20"/>
              </w:rPr>
              <w:t>₀</w:t>
            </w:r>
            <w:r w:rsidRPr="0081375C">
              <w:rPr>
                <w:rFonts w:ascii="Arial" w:eastAsia="Arial" w:hAnsi="Arial" w:cs="Arial"/>
                <w:color w:val="000000" w:themeColor="text1"/>
                <w:sz w:val="20"/>
                <w:szCs w:val="20"/>
              </w:rPr>
              <w:t xml:space="preserve"> + 5 años</w:t>
            </w:r>
          </w:p>
        </w:tc>
      </w:tr>
    </w:tbl>
    <w:p w14:paraId="209CEFC6" w14:textId="77777777" w:rsidR="00882F6D" w:rsidRPr="0081375C" w:rsidRDefault="00882F6D" w:rsidP="00882F6D">
      <w:pPr>
        <w:rPr>
          <w:rFonts w:ascii="Arial" w:hAnsi="Arial" w:cs="Arial"/>
        </w:rPr>
      </w:pPr>
    </w:p>
    <w:p w14:paraId="4D9A010B" w14:textId="77777777" w:rsidR="008E7AC9" w:rsidRPr="0081375C" w:rsidRDefault="008E7AC9" w:rsidP="00882F6D">
      <w:pPr>
        <w:rPr>
          <w:rFonts w:ascii="Arial" w:hAnsi="Arial" w:cs="Arial"/>
        </w:rPr>
      </w:pPr>
    </w:p>
    <w:p w14:paraId="7C942552" w14:textId="3ADD073E" w:rsidR="00825D4D" w:rsidRPr="0081375C" w:rsidRDefault="12F837DC" w:rsidP="0070084E">
      <w:pPr>
        <w:pStyle w:val="Ttulo3"/>
        <w:numPr>
          <w:ilvl w:val="2"/>
          <w:numId w:val="27"/>
        </w:numPr>
        <w:spacing w:beforeAutospacing="0" w:afterAutospacing="0" w:line="23" w:lineRule="atLeast"/>
        <w:rPr>
          <w:color w:val="000000" w:themeColor="text1"/>
          <w:lang w:val="es-CO"/>
        </w:rPr>
      </w:pPr>
      <w:bookmarkStart w:id="89" w:name="_Toc233304191"/>
      <w:r w:rsidRPr="0081375C">
        <w:rPr>
          <w:color w:val="000000" w:themeColor="text1"/>
          <w:lang w:val="es-CO"/>
        </w:rPr>
        <w:t xml:space="preserve">Acciones </w:t>
      </w:r>
      <w:r w:rsidR="16183421" w:rsidRPr="0081375C">
        <w:rPr>
          <w:color w:val="000000" w:themeColor="text1"/>
          <w:lang w:val="es-CO"/>
        </w:rPr>
        <w:t>C</w:t>
      </w:r>
      <w:r w:rsidRPr="0081375C">
        <w:rPr>
          <w:color w:val="000000" w:themeColor="text1"/>
          <w:lang w:val="es-CO"/>
        </w:rPr>
        <w:t>omportamentales</w:t>
      </w:r>
      <w:bookmarkEnd w:id="89"/>
    </w:p>
    <w:p w14:paraId="3E2DF593" w14:textId="77777777" w:rsidR="003457A4" w:rsidRPr="0081375C" w:rsidRDefault="003457A4" w:rsidP="729FED67">
      <w:pPr>
        <w:spacing w:line="23" w:lineRule="atLeast"/>
        <w:jc w:val="both"/>
        <w:rPr>
          <w:rFonts w:ascii="Arial" w:eastAsia="Arial" w:hAnsi="Arial" w:cs="Arial"/>
          <w:color w:val="000000" w:themeColor="text1"/>
        </w:rPr>
      </w:pPr>
    </w:p>
    <w:p w14:paraId="1F96CD38" w14:textId="0270D87D" w:rsidR="4E1D22DA" w:rsidRPr="0081375C" w:rsidRDefault="4E1D22DA" w:rsidP="729FED67">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Las acciones comportamentales constituyen un componente fundamental que complementa la intervención técnica desarrollada en campo, mediante procesos integrales de formación, sensibilización y apropiación social. Estas acciones inciden de manera directa en la transformación de las prácticas cotidianas de los beneficiarios y de las comunidades vinculadas al área de intervención.</w:t>
      </w:r>
    </w:p>
    <w:p w14:paraId="31625696" w14:textId="04FA8D6B" w:rsidR="729FED67" w:rsidRPr="0081375C" w:rsidRDefault="729FED67" w:rsidP="729FED67">
      <w:pPr>
        <w:spacing w:line="23" w:lineRule="atLeast"/>
        <w:jc w:val="both"/>
        <w:rPr>
          <w:rFonts w:ascii="Arial" w:eastAsia="Arial" w:hAnsi="Arial" w:cs="Arial"/>
          <w:color w:val="000000" w:themeColor="text1"/>
        </w:rPr>
      </w:pPr>
    </w:p>
    <w:p w14:paraId="063A1B8A" w14:textId="40CEA6ED" w:rsidR="729FED67" w:rsidRPr="0081375C" w:rsidRDefault="4E1D22DA" w:rsidP="729FED67">
      <w:pPr>
        <w:spacing w:line="23" w:lineRule="atLeast"/>
        <w:jc w:val="both"/>
      </w:pPr>
      <w:r w:rsidRPr="0081375C">
        <w:rPr>
          <w:rFonts w:ascii="Arial" w:eastAsia="Arial" w:hAnsi="Arial" w:cs="Arial"/>
          <w:color w:val="000000" w:themeColor="text1"/>
        </w:rPr>
        <w:t>En este sentido, esta subsección contempla el acompañamiento continúo orientado a la adopción de buenas prácticas productivas, alineadas con los objetivos del esquema, así como el fortalecimiento de la apropiación social del conocimiento ambiental. Lo anterior se enfoca especialmente en la comprensión y valoración de los servicios ecosistémicos que el programa de Pago por Servicios Ambientales (PSA) busca conservar, promoviendo así cambios sostenibles en el comportamiento y una gestión responsable del entorno natural.</w:t>
      </w:r>
    </w:p>
    <w:p w14:paraId="713C7884" w14:textId="1BFF7B83" w:rsidR="729FED67" w:rsidRPr="0081375C" w:rsidRDefault="729FED67" w:rsidP="729FED67">
      <w:pPr>
        <w:spacing w:line="23" w:lineRule="atLeast"/>
        <w:jc w:val="both"/>
        <w:rPr>
          <w:rFonts w:ascii="Arial" w:eastAsia="Arial" w:hAnsi="Arial" w:cs="Arial"/>
          <w:color w:val="000000" w:themeColor="text1"/>
        </w:rPr>
      </w:pPr>
    </w:p>
    <w:p w14:paraId="23E10409" w14:textId="77777777" w:rsidR="008D3AB0" w:rsidRPr="0081375C" w:rsidRDefault="008D3AB0" w:rsidP="003F6B53">
      <w:pPr>
        <w:spacing w:line="23" w:lineRule="atLeast"/>
        <w:jc w:val="both"/>
        <w:rPr>
          <w:rFonts w:ascii="Arial" w:eastAsia="Aptos" w:hAnsi="Arial" w:cs="Arial"/>
          <w:color w:val="000000" w:themeColor="text1"/>
        </w:rPr>
      </w:pPr>
    </w:p>
    <w:p w14:paraId="7C876EB6" w14:textId="4CCB8FA3" w:rsidR="00825D4D" w:rsidRPr="0081375C" w:rsidRDefault="00825D4D" w:rsidP="0070084E">
      <w:pPr>
        <w:pStyle w:val="Ttulo4"/>
        <w:numPr>
          <w:ilvl w:val="3"/>
          <w:numId w:val="27"/>
        </w:numPr>
        <w:spacing w:before="0" w:after="0" w:line="23" w:lineRule="atLeast"/>
        <w:rPr>
          <w:rFonts w:eastAsia="Aptos" w:cs="Arial"/>
          <w:bCs/>
          <w:color w:val="000000" w:themeColor="text1"/>
        </w:rPr>
      </w:pPr>
      <w:bookmarkStart w:id="90" w:name="_Toc233304192"/>
      <w:r w:rsidRPr="0081375C">
        <w:rPr>
          <w:rFonts w:eastAsia="Aptos" w:cs="Arial"/>
          <w:bCs/>
          <w:color w:val="000000" w:themeColor="text1"/>
        </w:rPr>
        <w:t xml:space="preserve">Buenas </w:t>
      </w:r>
      <w:r w:rsidR="008D3AB0" w:rsidRPr="0081375C">
        <w:rPr>
          <w:rFonts w:eastAsia="Aptos" w:cs="Arial"/>
          <w:bCs/>
          <w:color w:val="000000" w:themeColor="text1"/>
        </w:rPr>
        <w:t>P</w:t>
      </w:r>
      <w:r w:rsidRPr="0081375C">
        <w:rPr>
          <w:rFonts w:eastAsia="Aptos" w:cs="Arial"/>
          <w:bCs/>
          <w:color w:val="000000" w:themeColor="text1"/>
        </w:rPr>
        <w:t>rácticas</w:t>
      </w:r>
      <w:bookmarkEnd w:id="90"/>
    </w:p>
    <w:p w14:paraId="1B7CF6AF" w14:textId="77777777" w:rsidR="00882F6D" w:rsidRPr="0081375C" w:rsidRDefault="00882F6D" w:rsidP="00882F6D">
      <w:pPr>
        <w:rPr>
          <w:rFonts w:ascii="Arial" w:hAnsi="Arial" w:cs="Arial"/>
        </w:rPr>
      </w:pPr>
    </w:p>
    <w:p w14:paraId="72AF44EF"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componente de buenas prácticas acompaña a los participantes que cuentan con unidad productiva activa y manifiestan voluntariamente su interés en recibirlo. Su propósito es complementar las acciones de conservación y restauración establecidas en el predio actuando sobre las prácticas productivas cotidianas, de modo que el sistema productivo contribuya, y no tensione, el recurso hídrico y las áreas vinculadas al esquema. El componente se desarrolla en dos fases articuladas: una fase de establecimiento, que comprende el diagnóstico del sistema productivo y la elaboración del plan de acción, y una fase de seguimiento, que verifica la implementación de los compromisos acordados.</w:t>
      </w:r>
    </w:p>
    <w:p w14:paraId="22EAA311" w14:textId="77777777" w:rsidR="00882F6D" w:rsidRPr="0081375C" w:rsidRDefault="00882F6D" w:rsidP="003F6B53">
      <w:pPr>
        <w:spacing w:line="23" w:lineRule="atLeast"/>
        <w:jc w:val="both"/>
        <w:rPr>
          <w:rFonts w:ascii="Arial" w:eastAsia="Aptos" w:hAnsi="Arial" w:cs="Arial"/>
          <w:color w:val="000000" w:themeColor="text1"/>
        </w:rPr>
      </w:pPr>
    </w:p>
    <w:p w14:paraId="65C8C47F" w14:textId="68161C3A" w:rsidR="00825D4D" w:rsidRPr="0081375C" w:rsidRDefault="00806784" w:rsidP="004D64E5">
      <w:pPr>
        <w:pStyle w:val="Default"/>
        <w:rPr>
          <w:b/>
          <w:bCs/>
          <w:sz w:val="22"/>
          <w:szCs w:val="22"/>
        </w:rPr>
      </w:pPr>
      <w:r w:rsidRPr="0081375C">
        <w:rPr>
          <w:b/>
          <w:bCs/>
          <w:sz w:val="22"/>
          <w:szCs w:val="22"/>
        </w:rPr>
        <w:t xml:space="preserve">Establecimiento: </w:t>
      </w:r>
      <w:r w:rsidR="008D3AB0" w:rsidRPr="0081375C">
        <w:rPr>
          <w:b/>
          <w:bCs/>
          <w:sz w:val="22"/>
          <w:szCs w:val="22"/>
        </w:rPr>
        <w:t>D</w:t>
      </w:r>
      <w:r w:rsidRPr="0081375C">
        <w:rPr>
          <w:b/>
          <w:bCs/>
          <w:sz w:val="22"/>
          <w:szCs w:val="22"/>
        </w:rPr>
        <w:t xml:space="preserve">iagnóstico y </w:t>
      </w:r>
      <w:r w:rsidR="008D3AB0" w:rsidRPr="0081375C">
        <w:rPr>
          <w:b/>
          <w:bCs/>
          <w:sz w:val="22"/>
          <w:szCs w:val="22"/>
        </w:rPr>
        <w:t>P</w:t>
      </w:r>
      <w:r w:rsidRPr="0081375C">
        <w:rPr>
          <w:b/>
          <w:bCs/>
          <w:sz w:val="22"/>
          <w:szCs w:val="22"/>
        </w:rPr>
        <w:t xml:space="preserve">lan de </w:t>
      </w:r>
      <w:r w:rsidR="008D3AB0" w:rsidRPr="0081375C">
        <w:rPr>
          <w:b/>
          <w:bCs/>
          <w:sz w:val="22"/>
          <w:szCs w:val="22"/>
        </w:rPr>
        <w:t>A</w:t>
      </w:r>
      <w:r w:rsidRPr="0081375C">
        <w:rPr>
          <w:b/>
          <w:bCs/>
          <w:sz w:val="22"/>
          <w:szCs w:val="22"/>
        </w:rPr>
        <w:t>cción</w:t>
      </w:r>
    </w:p>
    <w:p w14:paraId="755E2D8B" w14:textId="77777777" w:rsidR="00882F6D" w:rsidRPr="0081375C" w:rsidRDefault="00882F6D" w:rsidP="00882F6D">
      <w:pPr>
        <w:rPr>
          <w:rFonts w:ascii="Arial" w:hAnsi="Arial" w:cs="Arial"/>
        </w:rPr>
      </w:pPr>
    </w:p>
    <w:p w14:paraId="2D84A124" w14:textId="642195CA" w:rsidR="00882F6D" w:rsidRPr="0081375C" w:rsidRDefault="65049D20"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establecimiento inicia una vez el Acuerdo de Pago está firmado y vigente y las acciones de conservación y restauración han sido instaladas en campo. Antes de aplicar el diagnóstico, el equipo técnico verifica que el participante cuenta con unidad productiva activa y que su vinculación al componente es voluntaria; si alguna de estas condiciones no se cumple, el componente no aplica y esta circunstancia se documenta en el expediente del predio. Verificadas las condiciones, se aplica el </w:t>
      </w:r>
      <w:r w:rsidRPr="0081375C">
        <w:rPr>
          <w:rFonts w:ascii="Arial" w:eastAsia="Arial" w:hAnsi="Arial" w:cs="Arial"/>
          <w:b/>
          <w:bCs/>
          <w:i/>
          <w:iCs/>
          <w:color w:val="000000" w:themeColor="text1"/>
        </w:rPr>
        <w:t>FO-GEAM Caracterización de sistemas productivos PSA</w:t>
      </w:r>
      <w:r w:rsidRPr="0081375C">
        <w:rPr>
          <w:rFonts w:ascii="Arial" w:eastAsia="Arial" w:hAnsi="Arial" w:cs="Arial"/>
          <w:color w:val="000000" w:themeColor="text1"/>
        </w:rPr>
        <w:t xml:space="preserve"> en visita de campo.</w:t>
      </w:r>
    </w:p>
    <w:p w14:paraId="7819027F" w14:textId="77777777" w:rsidR="00882F6D" w:rsidRPr="0081375C" w:rsidRDefault="00882F6D" w:rsidP="003F6B53">
      <w:pPr>
        <w:spacing w:line="23" w:lineRule="atLeast"/>
        <w:jc w:val="both"/>
        <w:rPr>
          <w:rFonts w:ascii="Arial" w:eastAsia="Arial" w:hAnsi="Arial" w:cs="Arial"/>
          <w:color w:val="000000" w:themeColor="text1"/>
        </w:rPr>
      </w:pPr>
    </w:p>
    <w:p w14:paraId="221D121A" w14:textId="6A3B181D"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instrumento recoge información en siete ámbitos: información general del proceso; datos de quien recibe la encuesta; características generales del predio; planeación del sistema productivo, con atención a los subsistemas agrícola, </w:t>
      </w:r>
      <w:proofErr w:type="spellStart"/>
      <w:r w:rsidRPr="0081375C">
        <w:rPr>
          <w:rFonts w:ascii="Arial" w:eastAsia="Arial" w:hAnsi="Arial" w:cs="Arial"/>
          <w:color w:val="000000" w:themeColor="text1"/>
        </w:rPr>
        <w:t>silvoagrícola</w:t>
      </w:r>
      <w:proofErr w:type="spellEnd"/>
      <w:r w:rsidRPr="0081375C">
        <w:rPr>
          <w:rFonts w:ascii="Arial" w:eastAsia="Arial" w:hAnsi="Arial" w:cs="Arial"/>
          <w:color w:val="000000" w:themeColor="text1"/>
        </w:rPr>
        <w:t xml:space="preserve">, pecuario, silvopastoril y forestal presentes; tipos de riesgos identificados; condiciones de las instalaciones; y calidad y manejo del agua. Los resultados se tabulan al finalizar la visita en el caso de predios que ingresan por primera vez al esquema, y de forma trimestral </w:t>
      </w:r>
      <w:r w:rsidRPr="0081375C">
        <w:rPr>
          <w:rFonts w:ascii="Arial" w:eastAsia="Arial" w:hAnsi="Arial" w:cs="Arial"/>
          <w:color w:val="000000" w:themeColor="text1"/>
        </w:rPr>
        <w:lastRenderedPageBreak/>
        <w:t xml:space="preserve">para predios que ya se encuentran en seguimiento activo. A partir de la tabulación, el equipo técnico determina el tipo de sistema productivo predominante, lo que define el conjunto de fichas ICA aplicables: BPA para producción primaria de vegetales (Resolución ICA 30021 de 2017, modificada por Resolución 82394 de 2020), BPG para bovinos y búfalos de carne (Resolución ICA 068167 de 2020), BPG para producción de leche (Resolución 3585 de 2008), BPG para sacrificio (Resolución 2341 de 2007) y </w:t>
      </w:r>
      <w:proofErr w:type="spellStart"/>
      <w:r w:rsidRPr="0081375C">
        <w:rPr>
          <w:rFonts w:ascii="Arial" w:eastAsia="Arial" w:hAnsi="Arial" w:cs="Arial"/>
          <w:color w:val="000000" w:themeColor="text1"/>
        </w:rPr>
        <w:t>BPAm</w:t>
      </w:r>
      <w:proofErr w:type="spellEnd"/>
      <w:r w:rsidRPr="0081375C">
        <w:rPr>
          <w:rFonts w:ascii="Arial" w:eastAsia="Arial" w:hAnsi="Arial" w:cs="Arial"/>
          <w:color w:val="000000" w:themeColor="text1"/>
        </w:rPr>
        <w:t>, o una combinación de ellas según corresponda.</w:t>
      </w:r>
    </w:p>
    <w:p w14:paraId="3B4252BA" w14:textId="77777777" w:rsidR="00882F6D" w:rsidRPr="0081375C" w:rsidRDefault="00882F6D" w:rsidP="003F6B53">
      <w:pPr>
        <w:spacing w:line="23" w:lineRule="atLeast"/>
        <w:jc w:val="both"/>
        <w:rPr>
          <w:rFonts w:ascii="Arial" w:eastAsia="Aptos" w:hAnsi="Arial" w:cs="Arial"/>
          <w:color w:val="000000" w:themeColor="text1"/>
        </w:rPr>
      </w:pPr>
    </w:p>
    <w:p w14:paraId="504C3B32" w14:textId="7BF11D4E"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Con los resultados del diagnóstico, el equipo técnico elabora el informe de diagnóstico identificando los aspectos por mejorar en materia de calidad del agua, suelo, aire y biodiversidad. Este informe se socializa con el propietario o poseedor del predio en un espacio de trabajo conjunto en el que se acuerdan las prioridades de mejora y los compromisos mutuos. A partir de ese acuerdo, se elabora el plan de acción con compromisos definidos, plazos y responsables, orientado a los aspectos identificados y enmarcado en los lineamientos del Plan Nacional de Negocios Verdes (Decreto 1007 de 2018, Art. 2.2.9.8.2.4). La socialización se registra en el </w:t>
      </w:r>
      <w:r w:rsidRPr="0081375C">
        <w:rPr>
          <w:rFonts w:ascii="Arial" w:eastAsia="Arial" w:hAnsi="Arial" w:cs="Arial"/>
          <w:b/>
          <w:bCs/>
          <w:i/>
          <w:iCs/>
          <w:color w:val="000000" w:themeColor="text1"/>
        </w:rPr>
        <w:t xml:space="preserve">FO-GEAM </w:t>
      </w:r>
      <w:r w:rsidR="00E734E7" w:rsidRPr="0081375C">
        <w:rPr>
          <w:rFonts w:ascii="Arial" w:eastAsia="Arial" w:hAnsi="Arial" w:cs="Arial"/>
          <w:b/>
          <w:bCs/>
          <w:i/>
          <w:iCs/>
          <w:color w:val="000000" w:themeColor="text1"/>
        </w:rPr>
        <w:t>Caracterización de sistemas productivos PSA</w:t>
      </w:r>
      <w:r w:rsidRPr="0081375C">
        <w:rPr>
          <w:rFonts w:ascii="Arial" w:eastAsia="Arial" w:hAnsi="Arial" w:cs="Arial"/>
          <w:color w:val="000000" w:themeColor="text1"/>
        </w:rPr>
        <w:t>. El diagnóstico, el informe y el plan de acción se archivan en el expediente del predio y constituyen el insumo de entrada para la fase de seguimiento. Las Fases 1 y 2 se ejecutan dentro de los primeros tres meses del acuerdo, en articulación con la visita de seguimiento inicial de las acciones de campo. El marco normativo del componente se integra por el Art. 25, ítem 4 de la Ley 1876 de 2017 en materia de extensión agropecuaria, las resoluciones ICA citadas y el Decreto 1007 de 2018.</w:t>
      </w:r>
    </w:p>
    <w:p w14:paraId="3622E846" w14:textId="77777777" w:rsidR="00882F6D" w:rsidRPr="0081375C" w:rsidRDefault="00882F6D" w:rsidP="003F6B53">
      <w:pPr>
        <w:spacing w:line="23" w:lineRule="atLeast"/>
        <w:jc w:val="both"/>
        <w:rPr>
          <w:rFonts w:ascii="Arial" w:eastAsia="Aptos" w:hAnsi="Arial" w:cs="Arial"/>
          <w:color w:val="000000" w:themeColor="text1"/>
        </w:rPr>
      </w:pPr>
    </w:p>
    <w:p w14:paraId="680BCBE7" w14:textId="69C44BFA" w:rsidR="00825D4D" w:rsidRPr="0081375C" w:rsidRDefault="00825D4D" w:rsidP="00456A9D">
      <w:pPr>
        <w:jc w:val="both"/>
        <w:rPr>
          <w:rFonts w:ascii="Arial" w:eastAsia="Arial" w:hAnsi="Arial" w:cs="Arial"/>
          <w:color w:val="000000" w:themeColor="text1"/>
        </w:rPr>
      </w:pPr>
      <w:r w:rsidRPr="0081375C">
        <w:rPr>
          <w:rFonts w:ascii="Arial" w:eastAsia="Arial" w:hAnsi="Arial" w:cs="Arial"/>
          <w:color w:val="000000" w:themeColor="text1"/>
        </w:rPr>
        <w:t xml:space="preserve">Dos decisiones condicionan el curso del establecimiento. Si el diagnóstico identifica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directos sobre las áreas vinculadas al esquema o sobre el recurso hídrico, el plan de acción incluye acciones de mitigación explícitas articuladas con los compromisos del Acuerdo de Pago; en ausencia de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directos, el plan se orienta a la mejora general de prácticas. Si el propietario no aprueba el plan en su versión inicial, los compromisos se ajustan hasta alcanzar un acuerdo, y las discrepancias y los ajustes realizados se documentan en el expediente.</w:t>
      </w:r>
    </w:p>
    <w:p w14:paraId="44BF332F" w14:textId="77777777" w:rsidR="00882F6D" w:rsidRPr="0081375C" w:rsidRDefault="00882F6D" w:rsidP="00456A9D">
      <w:pPr>
        <w:jc w:val="both"/>
        <w:rPr>
          <w:rFonts w:ascii="Arial" w:eastAsia="Aptos" w:hAnsi="Arial" w:cs="Arial"/>
          <w:color w:val="000000" w:themeColor="text1"/>
        </w:rPr>
      </w:pPr>
    </w:p>
    <w:p w14:paraId="5A816356" w14:textId="62DEF12D" w:rsidR="00825D4D" w:rsidRPr="0081375C" w:rsidRDefault="00806784" w:rsidP="00456A9D">
      <w:pPr>
        <w:pStyle w:val="Default"/>
        <w:rPr>
          <w:b/>
          <w:bCs/>
          <w:sz w:val="22"/>
          <w:szCs w:val="22"/>
        </w:rPr>
      </w:pPr>
      <w:r w:rsidRPr="0081375C">
        <w:rPr>
          <w:b/>
          <w:bCs/>
          <w:sz w:val="22"/>
          <w:szCs w:val="22"/>
        </w:rPr>
        <w:t xml:space="preserve">Seguimiento al </w:t>
      </w:r>
      <w:r w:rsidR="00965948" w:rsidRPr="0081375C">
        <w:rPr>
          <w:b/>
          <w:bCs/>
          <w:sz w:val="22"/>
          <w:szCs w:val="22"/>
        </w:rPr>
        <w:t>P</w:t>
      </w:r>
      <w:r w:rsidRPr="0081375C">
        <w:rPr>
          <w:b/>
          <w:bCs/>
          <w:sz w:val="22"/>
          <w:szCs w:val="22"/>
        </w:rPr>
        <w:t xml:space="preserve">lan de </w:t>
      </w:r>
      <w:r w:rsidR="00965948" w:rsidRPr="0081375C">
        <w:rPr>
          <w:b/>
          <w:bCs/>
          <w:sz w:val="22"/>
          <w:szCs w:val="22"/>
        </w:rPr>
        <w:t>A</w:t>
      </w:r>
      <w:r w:rsidRPr="0081375C">
        <w:rPr>
          <w:b/>
          <w:bCs/>
          <w:sz w:val="22"/>
          <w:szCs w:val="22"/>
        </w:rPr>
        <w:t>cción</w:t>
      </w:r>
    </w:p>
    <w:p w14:paraId="74E0C544" w14:textId="77777777" w:rsidR="00825D4D" w:rsidRPr="0081375C" w:rsidRDefault="00825D4D" w:rsidP="003F6B53">
      <w:pPr>
        <w:spacing w:line="23" w:lineRule="atLeast"/>
        <w:jc w:val="both"/>
        <w:rPr>
          <w:rFonts w:ascii="Arial" w:hAnsi="Arial" w:cs="Arial"/>
          <w:color w:val="000000" w:themeColor="text1"/>
        </w:rPr>
      </w:pPr>
    </w:p>
    <w:p w14:paraId="127FCBDD" w14:textId="351FB1B1"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monitoreo de buenas prácticas productivas constituye </w:t>
      </w:r>
      <w:r w:rsidR="33D5A3DC" w:rsidRPr="0081375C">
        <w:rPr>
          <w:rFonts w:ascii="Arial" w:eastAsia="Arial" w:hAnsi="Arial" w:cs="Arial"/>
          <w:color w:val="000000" w:themeColor="text1"/>
        </w:rPr>
        <w:t>una fase avanzada</w:t>
      </w:r>
      <w:r w:rsidRPr="0081375C">
        <w:rPr>
          <w:rFonts w:ascii="Arial" w:eastAsia="Arial" w:hAnsi="Arial" w:cs="Arial"/>
          <w:color w:val="000000" w:themeColor="text1"/>
        </w:rPr>
        <w:t xml:space="preserve"> del componente de acompañamiento técnico agroambiental. Aplica exclusivamente a los participantes que cuentan con un plan de acción suscrito; cuando alguna de estas condiciones no se cumple, el componente no aplica y se documenta en el expediente.</w:t>
      </w:r>
    </w:p>
    <w:p w14:paraId="79BDEF09" w14:textId="77777777" w:rsidR="00882F6D" w:rsidRPr="0081375C" w:rsidRDefault="00882F6D" w:rsidP="003F6B53">
      <w:pPr>
        <w:spacing w:line="23" w:lineRule="atLeast"/>
        <w:jc w:val="both"/>
        <w:rPr>
          <w:rFonts w:ascii="Arial" w:eastAsia="Aptos" w:hAnsi="Arial" w:cs="Arial"/>
          <w:color w:val="000000" w:themeColor="text1"/>
        </w:rPr>
      </w:pPr>
    </w:p>
    <w:p w14:paraId="54A2D6CF" w14:textId="1844E89E" w:rsidR="00882F6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seguimiento periódico se realiza mediante visitas al predio, cuya frecuencia se define en el plan </w:t>
      </w:r>
      <w:r w:rsidR="009250BE" w:rsidRPr="0081375C">
        <w:rPr>
          <w:rFonts w:ascii="Arial" w:eastAsia="Arial" w:hAnsi="Arial" w:cs="Arial"/>
          <w:color w:val="000000" w:themeColor="text1"/>
        </w:rPr>
        <w:t>operativo</w:t>
      </w:r>
      <w:r w:rsidR="005E1A77" w:rsidRPr="0081375C">
        <w:rPr>
          <w:rFonts w:ascii="Arial" w:eastAsia="Arial" w:hAnsi="Arial" w:cs="Arial"/>
          <w:color w:val="000000" w:themeColor="text1"/>
        </w:rPr>
        <w:t xml:space="preserve"> </w:t>
      </w:r>
      <w:r w:rsidR="005E1A77" w:rsidRPr="0081375C">
        <w:rPr>
          <w:rFonts w:ascii="Arial" w:eastAsia="Arial" w:hAnsi="Arial" w:cs="Arial"/>
          <w:b/>
          <w:bCs/>
          <w:i/>
          <w:iCs/>
          <w:color w:val="000000" w:themeColor="text1"/>
        </w:rPr>
        <w:t>FO-GEAM Registro de visita técnica agropecuaria</w:t>
      </w:r>
      <w:r w:rsidR="009250BE" w:rsidRPr="0081375C">
        <w:rPr>
          <w:rFonts w:ascii="Arial" w:eastAsia="Arial" w:hAnsi="Arial" w:cs="Arial"/>
          <w:color w:val="000000" w:themeColor="text1"/>
        </w:rPr>
        <w:t>.</w:t>
      </w:r>
      <w:r w:rsidRPr="0081375C">
        <w:rPr>
          <w:rFonts w:ascii="Arial" w:eastAsia="Arial" w:hAnsi="Arial" w:cs="Arial"/>
          <w:color w:val="000000" w:themeColor="text1"/>
        </w:rPr>
        <w:t xml:space="preserve"> Durante cada visita se contrasta el estado actual del sistema productivo con los compromisos del plan de acción y con el ciclo anterior; se verifica el avance en los aspectos por mejorar usando como referencia las fichas ICA aplicables al tipo de sistema productivo del predio. Las </w:t>
      </w:r>
      <w:r w:rsidRPr="0081375C">
        <w:rPr>
          <w:rFonts w:ascii="Arial" w:eastAsia="Arial" w:hAnsi="Arial" w:cs="Arial"/>
          <w:color w:val="000000" w:themeColor="text1"/>
        </w:rPr>
        <w:lastRenderedPageBreak/>
        <w:t xml:space="preserve">fichas BPA para sistemas agrícolas (Res. ICA 30021/2017, modificada por Res. 82394/2020) cubren historial del predio, gestión del agua, gestión del suelo, manejo integrado de plagas, manejo </w:t>
      </w:r>
      <w:proofErr w:type="spellStart"/>
      <w:r w:rsidRPr="0081375C">
        <w:rPr>
          <w:rFonts w:ascii="Arial" w:eastAsia="Arial" w:hAnsi="Arial" w:cs="Arial"/>
          <w:color w:val="000000" w:themeColor="text1"/>
        </w:rPr>
        <w:t>poscosecha</w:t>
      </w:r>
      <w:proofErr w:type="spellEnd"/>
      <w:r w:rsidRPr="0081375C">
        <w:rPr>
          <w:rFonts w:ascii="Arial" w:eastAsia="Arial" w:hAnsi="Arial" w:cs="Arial"/>
          <w:color w:val="000000" w:themeColor="text1"/>
        </w:rPr>
        <w:t xml:space="preserve"> y almacenamiento, gestión de residuos, salud y seguridad de trabajadores, protección ambiental, y documentación y registros. Las fichas BPG para sistemas pecuarios (Res. ICA 068167/2020 para bovinos y búfalos de carne, Res. 3585/2008 para producción de leche, Res. 2341/2007 para sacrificio) cubren bioseguridad, sanidad animal, instalaciones, manejo de medicamentos veterinarios, bienestar animal, alimentación y nutrición, trazabilidad, condiciones laborales, protección ambiental, y documentación y registros. </w:t>
      </w:r>
    </w:p>
    <w:p w14:paraId="5535002E" w14:textId="77777777" w:rsidR="00882F6D" w:rsidRPr="0081375C" w:rsidRDefault="00882F6D" w:rsidP="003F6B53">
      <w:pPr>
        <w:spacing w:line="23" w:lineRule="atLeast"/>
        <w:jc w:val="both"/>
        <w:rPr>
          <w:rFonts w:ascii="Arial" w:eastAsia="Arial" w:hAnsi="Arial" w:cs="Arial"/>
          <w:color w:val="000000" w:themeColor="text1"/>
        </w:rPr>
      </w:pPr>
    </w:p>
    <w:p w14:paraId="4BBC88F8" w14:textId="0617AC2D"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componente ambiental transversal </w:t>
      </w:r>
      <w:proofErr w:type="spellStart"/>
      <w:r w:rsidRPr="0081375C">
        <w:rPr>
          <w:rFonts w:ascii="Arial" w:eastAsia="Arial" w:hAnsi="Arial" w:cs="Arial"/>
          <w:color w:val="000000" w:themeColor="text1"/>
        </w:rPr>
        <w:t>BPAm</w:t>
      </w:r>
      <w:proofErr w:type="spellEnd"/>
      <w:r w:rsidRPr="0081375C">
        <w:rPr>
          <w:rFonts w:ascii="Arial" w:eastAsia="Arial" w:hAnsi="Arial" w:cs="Arial"/>
          <w:color w:val="000000" w:themeColor="text1"/>
        </w:rPr>
        <w:t xml:space="preserve"> cubre calidad y manejo del agua, manejo de suelos, gestión de residuos sólidos y líquidos, y protección de coberturas y áreas estratégicas. Durante la visita se identifican nuevas necesidades de ajuste o refuerzo en el plan de acción y se presta asesoría técnica sobre las acciones a implementar en el siguiente periodo. Los resultados de cada visita se registran en el </w:t>
      </w:r>
      <w:r w:rsidR="00882F6D" w:rsidRPr="0081375C">
        <w:rPr>
          <w:rFonts w:ascii="Arial" w:eastAsia="Arial" w:hAnsi="Arial" w:cs="Arial"/>
          <w:color w:val="000000" w:themeColor="text1"/>
        </w:rPr>
        <w:t xml:space="preserve">formato </w:t>
      </w:r>
      <w:r w:rsidRPr="0081375C">
        <w:rPr>
          <w:rFonts w:ascii="Arial" w:eastAsia="Arial" w:hAnsi="Arial" w:cs="Arial"/>
          <w:color w:val="000000" w:themeColor="text1"/>
        </w:rPr>
        <w:t>correspondiente al Informe Individual de Acompañamiento Técnico Sistemas Productivos.</w:t>
      </w:r>
    </w:p>
    <w:p w14:paraId="31BA28B9" w14:textId="77777777" w:rsidR="00882F6D" w:rsidRPr="0081375C" w:rsidRDefault="00882F6D" w:rsidP="003F6B53">
      <w:pPr>
        <w:spacing w:line="23" w:lineRule="atLeast"/>
        <w:jc w:val="both"/>
        <w:rPr>
          <w:rFonts w:ascii="Arial" w:eastAsia="Aptos" w:hAnsi="Arial" w:cs="Arial"/>
          <w:color w:val="000000" w:themeColor="text1"/>
        </w:rPr>
      </w:pPr>
    </w:p>
    <w:p w14:paraId="07A4285B"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Complementariamente a las visitas, se ejecutan giras </w:t>
      </w:r>
      <w:proofErr w:type="spellStart"/>
      <w:r w:rsidRPr="0081375C">
        <w:rPr>
          <w:rFonts w:ascii="Arial" w:eastAsia="Arial" w:hAnsi="Arial" w:cs="Arial"/>
          <w:color w:val="000000" w:themeColor="text1"/>
        </w:rPr>
        <w:t>ecopedagógicas</w:t>
      </w:r>
      <w:proofErr w:type="spellEnd"/>
      <w:r w:rsidRPr="0081375C">
        <w:rPr>
          <w:rFonts w:ascii="Arial" w:eastAsia="Arial" w:hAnsi="Arial" w:cs="Arial"/>
          <w:color w:val="000000" w:themeColor="text1"/>
        </w:rPr>
        <w:t xml:space="preserve"> a sitios de referencia para intercambio de saberes, priorizadas según los aprendizajes y necesidades identificadas en el seguimiento. Se ejecutan talleres prácticos de asesoría y capacitación en temas de BPA agroambiental, seleccionando los temas según el diagnóstico de cada participante y los aspectos pendientes del plan de acción. Cuando corresponde, se ejecutan acciones de mitigación directa en el predio: manejo de taludes mediante técnicas de bioingeniería, control de especies invasoras identificadas por la autoridad ambiental competente, mejoramiento ambiental en sistemas productivos y reconversión agroecológica de áreas productivas no sostenibles. Las acciones educativas y de mitigación se registran en el informe del ciclo.</w:t>
      </w:r>
    </w:p>
    <w:p w14:paraId="68C865C1" w14:textId="77777777" w:rsidR="00882F6D" w:rsidRPr="0081375C" w:rsidRDefault="00882F6D" w:rsidP="003F6B53">
      <w:pPr>
        <w:spacing w:line="23" w:lineRule="atLeast"/>
        <w:jc w:val="both"/>
        <w:rPr>
          <w:rFonts w:ascii="Arial" w:eastAsia="Aptos" w:hAnsi="Arial" w:cs="Arial"/>
          <w:color w:val="000000" w:themeColor="text1"/>
        </w:rPr>
      </w:pPr>
    </w:p>
    <w:p w14:paraId="640D7485"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Cuando el participante presenta avance insuficiente o retroceso en los compromisos del plan de acción, se identifican las causas, se ajusta el plan si las causas son estructurales y se refuerza la asesoría; si el retroceso implica afectación directa sobre las áreas del esquema o el recurso hídrico, se notifica para valoración en el IVS, y si las consecuencias afectan los compromisos del Acuerdo de Pago, se traslada también para evaluación de incumplimiento. Cuando se identifican nuevas especies invasoras o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no contemplados en el diagnóstico inicial, se documentan en el informe del ciclo, se articula con la autoridad ambiental competente para el manejo y se actualiza el plan de acción. Cuando el participante ya no cuenta con unidad productiva activa o manifiesta desinterés en continuar el acompañamiento, se documenta en el expediente, se suspenden las visitas y se registra como cierre anticipado del componente.</w:t>
      </w:r>
    </w:p>
    <w:p w14:paraId="400E3A1B" w14:textId="77777777" w:rsidR="00882F6D" w:rsidRPr="0081375C" w:rsidRDefault="00882F6D" w:rsidP="003F6B53">
      <w:pPr>
        <w:spacing w:line="23" w:lineRule="atLeast"/>
        <w:jc w:val="both"/>
        <w:rPr>
          <w:rFonts w:ascii="Arial" w:eastAsia="Aptos" w:hAnsi="Arial" w:cs="Arial"/>
          <w:color w:val="000000" w:themeColor="text1"/>
        </w:rPr>
      </w:pPr>
    </w:p>
    <w:p w14:paraId="5FBC8B39" w14:textId="61124230" w:rsidR="00825D4D" w:rsidRPr="0081375C" w:rsidRDefault="53ABCE9C"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w:t>
      </w:r>
      <w:r w:rsidR="1E19B4D1" w:rsidRPr="0081375C">
        <w:rPr>
          <w:rFonts w:ascii="Arial" w:eastAsia="Arial" w:hAnsi="Arial" w:cs="Arial"/>
          <w:color w:val="000000" w:themeColor="text1"/>
        </w:rPr>
        <w:t>nualmente</w:t>
      </w:r>
      <w:r w:rsidR="00806784" w:rsidRPr="0081375C">
        <w:rPr>
          <w:rFonts w:ascii="Arial" w:eastAsia="Arial" w:hAnsi="Arial" w:cs="Arial"/>
          <w:color w:val="000000" w:themeColor="text1"/>
        </w:rPr>
        <w:t xml:space="preserve"> se elabora el </w:t>
      </w:r>
      <w:r w:rsidR="00507076" w:rsidRPr="0081375C">
        <w:rPr>
          <w:rFonts w:ascii="Arial" w:eastAsia="Arial" w:hAnsi="Arial" w:cs="Arial"/>
          <w:b/>
          <w:bCs/>
          <w:i/>
          <w:iCs/>
          <w:color w:val="000000" w:themeColor="text1"/>
        </w:rPr>
        <w:t>FO-GEAM Informe de avance de Plan Predial Técnico Predios PSA</w:t>
      </w:r>
      <w:r w:rsidR="00806784" w:rsidRPr="0081375C">
        <w:rPr>
          <w:rFonts w:ascii="Arial" w:eastAsia="Arial" w:hAnsi="Arial" w:cs="Arial"/>
          <w:color w:val="000000" w:themeColor="text1"/>
        </w:rPr>
        <w:t xml:space="preserve">, consolidando los logros alcanzados respecto al plan de acción, las recomendaciones técnicas para la continuidad de las prácticas y los aspectos por </w:t>
      </w:r>
      <w:r w:rsidR="00806784" w:rsidRPr="0081375C">
        <w:rPr>
          <w:rFonts w:ascii="Arial" w:eastAsia="Arial" w:hAnsi="Arial" w:cs="Arial"/>
          <w:color w:val="000000" w:themeColor="text1"/>
        </w:rPr>
        <w:lastRenderedPageBreak/>
        <w:t>fortalecer en un eventual nuevo ciclo. Este informe final constituye evidencia del desempeño del componente y alimenta la evaluación del diseño e implementación.</w:t>
      </w:r>
    </w:p>
    <w:p w14:paraId="0352F7D8" w14:textId="77777777" w:rsidR="00882F6D" w:rsidRPr="0081375C" w:rsidRDefault="00882F6D" w:rsidP="003F6B53">
      <w:pPr>
        <w:spacing w:line="23" w:lineRule="atLeast"/>
        <w:jc w:val="both"/>
        <w:rPr>
          <w:rFonts w:ascii="Arial" w:eastAsia="Aptos" w:hAnsi="Arial" w:cs="Arial"/>
          <w:color w:val="000000" w:themeColor="text1"/>
        </w:rPr>
      </w:pPr>
    </w:p>
    <w:p w14:paraId="7549148A" w14:textId="06709680" w:rsidR="7E5FA99F" w:rsidRPr="0081375C" w:rsidRDefault="7E5FA99F" w:rsidP="003457A4">
      <w:pPr>
        <w:pStyle w:val="Ttulo4"/>
        <w:numPr>
          <w:ilvl w:val="3"/>
          <w:numId w:val="27"/>
        </w:numPr>
        <w:spacing w:before="0" w:after="0" w:line="23" w:lineRule="atLeast"/>
        <w:rPr>
          <w:rFonts w:eastAsia="Aptos" w:cs="Arial"/>
          <w:bCs/>
          <w:color w:val="000000" w:themeColor="text1"/>
        </w:rPr>
      </w:pPr>
      <w:bookmarkStart w:id="91" w:name="_Toc233304193"/>
      <w:r w:rsidRPr="0081375C">
        <w:rPr>
          <w:rFonts w:eastAsia="Aptos" w:cs="Arial"/>
          <w:bCs/>
          <w:color w:val="000000" w:themeColor="text1"/>
        </w:rPr>
        <w:t>Apropiación social del conocimiento</w:t>
      </w:r>
      <w:bookmarkEnd w:id="91"/>
    </w:p>
    <w:p w14:paraId="50AC308E" w14:textId="77777777" w:rsidR="00882F6D" w:rsidRPr="0081375C" w:rsidRDefault="00882F6D" w:rsidP="00882F6D">
      <w:pPr>
        <w:rPr>
          <w:rFonts w:ascii="Arial" w:hAnsi="Arial" w:cs="Arial"/>
        </w:rPr>
      </w:pPr>
    </w:p>
    <w:p w14:paraId="375A4BF2"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Este componente implementa de forma continua, a lo largo de todo el ciclo del acuerdo, acciones de sensibilización, fortalecimiento comunitario y formación ambiental orientadas por dos ideas articuladas: que cada participante reconozca el valor de su propio predio y comprenda su contribución individual a los resultados del esquema (apropiación territorial), y que ese reconocimiento individual se extienda a la escala del corredor, haciendo visible la interdependencia entre predios y generando corresponsabilidad colectiva sobre los resultados del conjunto. Ambas dimensiones se refuerzan mutuamente: sin legibilidad de la contribución individual, la corresponsabilidad es retórica; sin la escala del corredor, la apropiación individual carece de contexto que le dé sentido.</w:t>
      </w:r>
    </w:p>
    <w:p w14:paraId="4C7B463F" w14:textId="77777777" w:rsidR="00882F6D" w:rsidRPr="0081375C" w:rsidRDefault="00882F6D" w:rsidP="003F6B53">
      <w:pPr>
        <w:spacing w:line="23" w:lineRule="atLeast"/>
        <w:jc w:val="both"/>
        <w:rPr>
          <w:rFonts w:ascii="Arial" w:eastAsia="Aptos" w:hAnsi="Arial" w:cs="Arial"/>
          <w:color w:val="000000" w:themeColor="text1"/>
        </w:rPr>
      </w:pPr>
    </w:p>
    <w:p w14:paraId="57688E41" w14:textId="77777777" w:rsidR="00825D4D" w:rsidRPr="0081375C" w:rsidRDefault="65049D20" w:rsidP="65049D20">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La dimensión individual se operacionaliza principalmente a través de acercamientos periódicos con cada participante. Estas visitas no tienen carácter administrativo: su propósito central es la entrega y acompañamiento del informe privado de predio, instrumento que desagrega los datos de cobertura, carbono y biodiversidad atribuibles al predio y los expresa como porcentaje de los totales del corredor. La entrega se diseña como un momento deliberado de reflexión, en el que el formato, el contenido y el acompañamiento deben hacer legible para el participante qué conserva, cuánto representa esa conservación dentro del sistema y cómo se vincula con los resultados colectivos. Complementan este eje la formación en observación de biodiversidad, en la que el equipo técnico comparte metodologías calibradas para uso sin equipos especializados, vinculando cada especie observada a su función ecosistémica local, y las actividades de sensibilización sobre el valor del recurso hídrico y los servicios ecosistémicos concretos del área, articuladas desde lo localmente relevante y no desde la taxonomía ecológica abstracta.</w:t>
      </w:r>
    </w:p>
    <w:p w14:paraId="6126383E" w14:textId="77777777" w:rsidR="00825D4D" w:rsidRPr="0081375C" w:rsidRDefault="00825D4D" w:rsidP="65049D20">
      <w:pPr>
        <w:spacing w:line="23" w:lineRule="atLeast"/>
        <w:jc w:val="both"/>
        <w:rPr>
          <w:rFonts w:ascii="Arial" w:eastAsia="Aptos" w:hAnsi="Arial" w:cs="Arial"/>
          <w:color w:val="000000" w:themeColor="text1"/>
        </w:rPr>
      </w:pPr>
    </w:p>
    <w:p w14:paraId="12487A31" w14:textId="77777777" w:rsidR="00825D4D" w:rsidRPr="0081375C" w:rsidRDefault="65049D20" w:rsidP="003F6B53">
      <w:pPr>
        <w:spacing w:line="23" w:lineRule="atLeast"/>
        <w:jc w:val="both"/>
        <w:rPr>
          <w:rFonts w:ascii="Arial" w:eastAsia="Arial" w:hAnsi="Arial" w:cs="Arial"/>
          <w:color w:val="000000" w:themeColor="text1"/>
        </w:rPr>
      </w:pPr>
      <w:r w:rsidRPr="0081375C">
        <w:rPr>
          <w:rFonts w:ascii="Arial" w:hAnsi="Arial"/>
          <w:color w:val="000000" w:themeColor="text1"/>
        </w:rPr>
        <w:t xml:space="preserve">La dimensión colectiva se construye principalmente sobre el informe colectivo del corredor, que socializa periódicamente con los participantes y las comunidades del área de influencia los resultados agregados de captura de carbono, especies registradas en red, indicadores de conectividad y pérdida potencial ante el fallo de nodos. Este instrumento hace visible que los predios constituyen un sistema interdependiente y que la integridad del corredor depende del desempeño de cada nodo. Los espacios de sensibilización grupal refuerzan esta lectura al abordar el funcionamiento del corredor como sistema, y los encuentros interdisciplinarios abren diálogo entre los profesionales del esquema y los grupos de interés del territorio, pudiendo incluir intercambio de saberes, giras </w:t>
      </w:r>
      <w:proofErr w:type="spellStart"/>
      <w:r w:rsidRPr="0081375C">
        <w:rPr>
          <w:rFonts w:ascii="Arial" w:hAnsi="Arial"/>
          <w:color w:val="000000" w:themeColor="text1"/>
        </w:rPr>
        <w:t>ecopedagógicas</w:t>
      </w:r>
      <w:proofErr w:type="spellEnd"/>
      <w:r w:rsidRPr="0081375C">
        <w:rPr>
          <w:rFonts w:ascii="Arial" w:hAnsi="Arial"/>
          <w:color w:val="000000" w:themeColor="text1"/>
        </w:rPr>
        <w:t xml:space="preserve"> y articulación con otros actores.</w:t>
      </w:r>
    </w:p>
    <w:p w14:paraId="0A428E6B" w14:textId="77777777" w:rsidR="00882F6D" w:rsidRPr="0081375C" w:rsidRDefault="00882F6D" w:rsidP="003F6B53">
      <w:pPr>
        <w:spacing w:line="23" w:lineRule="atLeast"/>
        <w:jc w:val="both"/>
        <w:rPr>
          <w:rFonts w:ascii="Arial" w:eastAsia="Aptos" w:hAnsi="Arial" w:cs="Arial"/>
          <w:color w:val="000000" w:themeColor="text1"/>
        </w:rPr>
      </w:pPr>
    </w:p>
    <w:p w14:paraId="50F7DC10" w14:textId="190250DA"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Al ingreso al esquema se activan mecanismos simbólicos y de compromiso que operan de forma asíncrona y que anclan las dos dimensiones del componente en actos </w:t>
      </w:r>
      <w:r w:rsidRPr="0081375C">
        <w:rPr>
          <w:rFonts w:ascii="Arial" w:eastAsia="Arial" w:hAnsi="Arial" w:cs="Arial"/>
          <w:color w:val="000000" w:themeColor="text1"/>
        </w:rPr>
        <w:lastRenderedPageBreak/>
        <w:t>concretos</w:t>
      </w:r>
      <w:r w:rsidR="4D4A4551" w:rsidRPr="0081375C">
        <w:rPr>
          <w:rFonts w:ascii="Arial" w:eastAsia="Arial" w:hAnsi="Arial" w:cs="Arial"/>
          <w:color w:val="000000" w:themeColor="text1"/>
        </w:rPr>
        <w:t>.</w:t>
      </w:r>
      <w:r w:rsidR="4200B2A3" w:rsidRPr="0081375C">
        <w:rPr>
          <w:rFonts w:ascii="Arial" w:eastAsia="Arial" w:hAnsi="Arial" w:cs="Arial"/>
          <w:color w:val="000000" w:themeColor="text1"/>
        </w:rPr>
        <w:t xml:space="preserve"> Se busca que los participantes tengan marcadores físicos (certificados, actas de compromisos, un árbol simbólico sembrado, etc.) para representar</w:t>
      </w:r>
      <w:r w:rsidR="5DEC3966" w:rsidRPr="0081375C">
        <w:rPr>
          <w:rFonts w:ascii="Arial" w:eastAsia="Arial" w:hAnsi="Arial" w:cs="Arial"/>
          <w:color w:val="000000" w:themeColor="text1"/>
        </w:rPr>
        <w:t xml:space="preserve"> que pertenecen al esquema.</w:t>
      </w:r>
      <w:r w:rsidR="4D4A4551" w:rsidRPr="0081375C">
        <w:rPr>
          <w:rFonts w:ascii="Arial" w:eastAsia="Arial" w:hAnsi="Arial" w:cs="Arial"/>
          <w:color w:val="000000" w:themeColor="text1"/>
        </w:rPr>
        <w:t xml:space="preserve"> La construcción y validación de estos mecanismos será responsabilidad del operador previa aprobación de la supervisión. La selección de las acciones de implementar será </w:t>
      </w:r>
      <w:r w:rsidR="29458F0B" w:rsidRPr="0081375C">
        <w:rPr>
          <w:rFonts w:ascii="Arial" w:eastAsia="Arial" w:hAnsi="Arial" w:cs="Arial"/>
          <w:color w:val="000000" w:themeColor="text1"/>
        </w:rPr>
        <w:t>determinada según la disponibilidad presupuestal, y se considera un componente adicional que no condiciona la implementación del esquema.</w:t>
      </w:r>
    </w:p>
    <w:p w14:paraId="5D2D9F1F" w14:textId="77777777" w:rsidR="00882F6D" w:rsidRPr="0081375C" w:rsidRDefault="00882F6D" w:rsidP="003F6B53">
      <w:pPr>
        <w:spacing w:line="23" w:lineRule="atLeast"/>
        <w:jc w:val="both"/>
        <w:rPr>
          <w:rFonts w:ascii="Arial" w:eastAsia="Arial" w:hAnsi="Arial" w:cs="Arial"/>
          <w:color w:val="000000" w:themeColor="text1"/>
        </w:rPr>
      </w:pPr>
    </w:p>
    <w:p w14:paraId="78239B07" w14:textId="17A1116B"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función del componente es sostener la motivación de los participantes más allá del incentivo monetario, reduciendo el riesgo de abandono al vencimiento del acuerdo o ante variaciones del pago. Cumple además dos funciones instrumentales para el esquema: genera las condiciones necesarias para que los mecanismos de responsabilidad colectiva operen, dado que sin apropiación de la interdependencia la corresponsabilidad no puede activarse; y produce señales tempranas de desvinculación, observables durante los acercamientos individuales y los espacios colectivos, que alimentan el seguimiento técnico y el proceso de incumplimientos antes de que el incumplimiento sea formal. Al cierre del acuerdo, el balance de apropiación acumulado durante el ciclo aporta insumos a la evaluación del diseño e implementación.</w:t>
      </w:r>
    </w:p>
    <w:p w14:paraId="033B1CF2" w14:textId="77777777" w:rsidR="00882F6D" w:rsidRPr="0081375C" w:rsidRDefault="00882F6D" w:rsidP="003F6B53">
      <w:pPr>
        <w:spacing w:line="23" w:lineRule="atLeast"/>
        <w:jc w:val="both"/>
        <w:rPr>
          <w:rFonts w:ascii="Arial" w:eastAsia="Aptos" w:hAnsi="Arial" w:cs="Arial"/>
          <w:color w:val="000000" w:themeColor="text1"/>
        </w:rPr>
      </w:pPr>
    </w:p>
    <w:p w14:paraId="5D45CB32" w14:textId="031926D8"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frecuencia de los acercamientos individuales y de los espacios colectivos</w:t>
      </w:r>
      <w:r w:rsidR="3FAEA37D" w:rsidRPr="0081375C">
        <w:rPr>
          <w:rFonts w:ascii="Arial" w:eastAsia="Arial" w:hAnsi="Arial" w:cs="Arial"/>
          <w:color w:val="000000" w:themeColor="text1"/>
        </w:rPr>
        <w:t>, los informes y las acciones de a</w:t>
      </w:r>
      <w:r w:rsidR="4D08F450" w:rsidRPr="0081375C">
        <w:rPr>
          <w:rFonts w:ascii="Arial" w:eastAsia="Arial" w:hAnsi="Arial" w:cs="Arial"/>
          <w:color w:val="000000" w:themeColor="text1"/>
        </w:rPr>
        <w:t xml:space="preserve">propiación social serán responsabilidad del operador, y tendrán en cuenta las experiencias, necesidades y capacidad presupuestal del personal social </w:t>
      </w:r>
      <w:r w:rsidR="0F44467E" w:rsidRPr="0081375C">
        <w:rPr>
          <w:rFonts w:ascii="Arial" w:eastAsia="Arial" w:hAnsi="Arial" w:cs="Arial"/>
          <w:color w:val="000000" w:themeColor="text1"/>
        </w:rPr>
        <w:t>del proyecto</w:t>
      </w:r>
      <w:r w:rsidRPr="0081375C">
        <w:rPr>
          <w:rFonts w:ascii="Arial" w:eastAsia="Arial" w:hAnsi="Arial" w:cs="Arial"/>
          <w:color w:val="000000" w:themeColor="text1"/>
        </w:rPr>
        <w:t xml:space="preserve">. </w:t>
      </w:r>
    </w:p>
    <w:p w14:paraId="52F7B5BE" w14:textId="77777777" w:rsidR="00882F6D" w:rsidRPr="0081375C" w:rsidRDefault="00882F6D" w:rsidP="003F6B53">
      <w:pPr>
        <w:spacing w:line="23" w:lineRule="atLeast"/>
        <w:jc w:val="both"/>
        <w:rPr>
          <w:rFonts w:ascii="Arial" w:eastAsia="Aptos" w:hAnsi="Arial" w:cs="Arial"/>
          <w:color w:val="000000" w:themeColor="text1"/>
        </w:rPr>
      </w:pPr>
    </w:p>
    <w:p w14:paraId="43986C5D" w14:textId="53DBAE9C"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Finalmente, no existe un instrumento de medición del efecto del componente sobre la motivación y la identidad de los participantes, sin el cual no puede verificarse el supuesto central de que la apropiación social sostiene la conservación más allá del incentivo monetario.</w:t>
      </w:r>
      <w:r w:rsidR="01145004" w:rsidRPr="0081375C">
        <w:rPr>
          <w:rFonts w:ascii="Arial" w:eastAsia="Arial" w:hAnsi="Arial" w:cs="Arial"/>
          <w:color w:val="000000" w:themeColor="text1"/>
        </w:rPr>
        <w:t xml:space="preserve"> La construcción de este instrumento se realizará de la mano con los profesionales encargados del área social, y será registrado con el resto de los instrumentos de evaluación.</w:t>
      </w:r>
    </w:p>
    <w:p w14:paraId="2AF97CC7" w14:textId="77777777" w:rsidR="00882F6D" w:rsidRPr="0081375C" w:rsidRDefault="00882F6D" w:rsidP="003F6B53">
      <w:pPr>
        <w:spacing w:line="23" w:lineRule="atLeast"/>
        <w:jc w:val="both"/>
        <w:rPr>
          <w:rFonts w:ascii="Arial" w:eastAsia="Aptos" w:hAnsi="Arial" w:cs="Arial"/>
          <w:color w:val="000000" w:themeColor="text1"/>
        </w:rPr>
      </w:pPr>
    </w:p>
    <w:p w14:paraId="62C0461C" w14:textId="0273AE0B"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92" w:name="_Toc232154418"/>
      <w:bookmarkStart w:id="93" w:name="_Toc233304194"/>
      <w:r w:rsidRPr="0081375C">
        <w:rPr>
          <w:color w:val="000000" w:themeColor="text1"/>
          <w:lang w:val="es-CO"/>
        </w:rPr>
        <w:t xml:space="preserve">Seguimiento a la </w:t>
      </w:r>
      <w:r w:rsidR="00965948" w:rsidRPr="0081375C">
        <w:rPr>
          <w:color w:val="000000" w:themeColor="text1"/>
          <w:lang w:val="es-CO"/>
        </w:rPr>
        <w:t>E</w:t>
      </w:r>
      <w:r w:rsidRPr="0081375C">
        <w:rPr>
          <w:color w:val="000000" w:themeColor="text1"/>
          <w:lang w:val="es-CO"/>
        </w:rPr>
        <w:t xml:space="preserve">jecución del </w:t>
      </w:r>
      <w:r w:rsidR="00965948" w:rsidRPr="0081375C">
        <w:rPr>
          <w:color w:val="000000" w:themeColor="text1"/>
          <w:lang w:val="es-CO"/>
        </w:rPr>
        <w:t>E</w:t>
      </w:r>
      <w:r w:rsidRPr="0081375C">
        <w:rPr>
          <w:color w:val="000000" w:themeColor="text1"/>
          <w:lang w:val="es-CO"/>
        </w:rPr>
        <w:t>squema</w:t>
      </w:r>
      <w:bookmarkEnd w:id="92"/>
      <w:bookmarkEnd w:id="93"/>
    </w:p>
    <w:p w14:paraId="40832DCB" w14:textId="77777777" w:rsidR="00882F6D" w:rsidRPr="0081375C" w:rsidRDefault="00882F6D" w:rsidP="00882F6D">
      <w:pPr>
        <w:rPr>
          <w:rFonts w:ascii="Arial" w:hAnsi="Arial" w:cs="Arial"/>
        </w:rPr>
      </w:pPr>
    </w:p>
    <w:p w14:paraId="2FCDE9B3" w14:textId="42A8E310"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seguimiento verifica de manera continua el cumplimiento de los compromisos adquiridos en los acuerdos y el estado de los servicios ecosistémicos durante la vigencia del ciclo. Se articula en tres frentes: el seguimiento jurídico, que controla las condiciones legales de los acuerdos activos; el seguimiento técnico mediante el </w:t>
      </w:r>
      <w:r w:rsidR="2813AB0D" w:rsidRPr="0081375C">
        <w:rPr>
          <w:rFonts w:ascii="Arial" w:eastAsia="Arial" w:hAnsi="Arial" w:cs="Arial"/>
          <w:color w:val="000000" w:themeColor="text1"/>
        </w:rPr>
        <w:t>Informe</w:t>
      </w:r>
      <w:r w:rsidRPr="0081375C">
        <w:rPr>
          <w:rFonts w:ascii="Arial" w:eastAsia="Arial" w:hAnsi="Arial" w:cs="Arial"/>
          <w:color w:val="000000" w:themeColor="text1"/>
        </w:rPr>
        <w:t xml:space="preserve"> de Verificación </w:t>
      </w:r>
      <w:r w:rsidR="2813AB0D" w:rsidRPr="0081375C">
        <w:rPr>
          <w:rFonts w:ascii="Arial" w:eastAsia="Arial" w:hAnsi="Arial" w:cs="Arial"/>
          <w:color w:val="000000" w:themeColor="text1"/>
        </w:rPr>
        <w:t>y Seguimiento (IVS)</w:t>
      </w:r>
      <w:r w:rsidRPr="0081375C">
        <w:rPr>
          <w:rFonts w:ascii="Arial" w:eastAsia="Arial" w:hAnsi="Arial" w:cs="Arial"/>
          <w:color w:val="000000" w:themeColor="text1"/>
        </w:rPr>
        <w:t xml:space="preserve"> que evalúa el desempeño predial; y el monitoreo de los servicios ecosistémicos, que registra los indicadores biofísicos de flora, fauna, coberturas e hidrología.</w:t>
      </w:r>
    </w:p>
    <w:p w14:paraId="6C31B3E4" w14:textId="77777777" w:rsidR="00882F6D" w:rsidRPr="0081375C" w:rsidRDefault="00882F6D" w:rsidP="003F6B53">
      <w:pPr>
        <w:spacing w:line="23" w:lineRule="atLeast"/>
        <w:jc w:val="both"/>
        <w:rPr>
          <w:rFonts w:ascii="Arial" w:eastAsia="Aptos" w:hAnsi="Arial" w:cs="Arial"/>
          <w:color w:val="000000" w:themeColor="text1"/>
        </w:rPr>
      </w:pPr>
    </w:p>
    <w:p w14:paraId="03B947D2" w14:textId="321964C7" w:rsidR="0B655B1E" w:rsidRPr="0081375C" w:rsidRDefault="0B655B1E" w:rsidP="729FED67">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L</w:t>
      </w:r>
      <w:r w:rsidR="7FDF0A03" w:rsidRPr="0081375C">
        <w:rPr>
          <w:rFonts w:ascii="Arial" w:eastAsia="Aptos" w:hAnsi="Arial" w:cs="Arial"/>
          <w:color w:val="000000" w:themeColor="text1"/>
        </w:rPr>
        <w:t>os predios estarán divididos en tres bloques secuenciales, cuya designación será responsabilidad del operador, para gara</w:t>
      </w:r>
      <w:r w:rsidR="7A85C7BF" w:rsidRPr="0081375C">
        <w:rPr>
          <w:rFonts w:ascii="Arial" w:eastAsia="Aptos" w:hAnsi="Arial" w:cs="Arial"/>
          <w:color w:val="000000" w:themeColor="text1"/>
        </w:rPr>
        <w:t>n</w:t>
      </w:r>
      <w:r w:rsidR="7FDF0A03" w:rsidRPr="0081375C">
        <w:rPr>
          <w:rFonts w:ascii="Arial" w:eastAsia="Aptos" w:hAnsi="Arial" w:cs="Arial"/>
          <w:color w:val="000000" w:themeColor="text1"/>
        </w:rPr>
        <w:t>t</w:t>
      </w:r>
      <w:r w:rsidR="2475AAE2" w:rsidRPr="0081375C">
        <w:rPr>
          <w:rFonts w:ascii="Arial" w:eastAsia="Aptos" w:hAnsi="Arial" w:cs="Arial"/>
          <w:color w:val="000000" w:themeColor="text1"/>
        </w:rPr>
        <w:t xml:space="preserve">izar que haya </w:t>
      </w:r>
      <w:r w:rsidR="6342C343" w:rsidRPr="0081375C">
        <w:rPr>
          <w:rFonts w:ascii="Arial" w:eastAsia="Aptos" w:hAnsi="Arial" w:cs="Arial"/>
          <w:color w:val="000000" w:themeColor="text1"/>
        </w:rPr>
        <w:t xml:space="preserve">una distribución temporal de las labores de seguimiento. </w:t>
      </w:r>
      <w:r w:rsidR="5FF1ADB7" w:rsidRPr="0081375C">
        <w:rPr>
          <w:rFonts w:ascii="Arial" w:eastAsia="Aptos" w:hAnsi="Arial" w:cs="Arial"/>
          <w:color w:val="000000" w:themeColor="text1"/>
        </w:rPr>
        <w:t xml:space="preserve">Al inicio de cada mes, el operador identificará qué predios </w:t>
      </w:r>
      <w:r w:rsidR="15FAB3C3" w:rsidRPr="0081375C">
        <w:rPr>
          <w:rFonts w:ascii="Arial" w:eastAsia="Aptos" w:hAnsi="Arial" w:cs="Arial"/>
          <w:color w:val="000000" w:themeColor="text1"/>
        </w:rPr>
        <w:t xml:space="preserve">deben </w:t>
      </w:r>
      <w:r w:rsidR="15FAB3C3" w:rsidRPr="0081375C">
        <w:rPr>
          <w:rFonts w:ascii="Arial" w:eastAsia="Aptos" w:hAnsi="Arial" w:cs="Arial"/>
          <w:color w:val="000000" w:themeColor="text1"/>
        </w:rPr>
        <w:lastRenderedPageBreak/>
        <w:t>recibir pago durante ese periodo y agenda</w:t>
      </w:r>
      <w:r w:rsidR="4E5D0214" w:rsidRPr="0081375C">
        <w:rPr>
          <w:rFonts w:ascii="Arial" w:eastAsia="Aptos" w:hAnsi="Arial" w:cs="Arial"/>
          <w:color w:val="000000" w:themeColor="text1"/>
        </w:rPr>
        <w:t>rá</w:t>
      </w:r>
      <w:r w:rsidR="15FAB3C3" w:rsidRPr="0081375C">
        <w:rPr>
          <w:rFonts w:ascii="Arial" w:eastAsia="Aptos" w:hAnsi="Arial" w:cs="Arial"/>
          <w:color w:val="000000" w:themeColor="text1"/>
        </w:rPr>
        <w:t xml:space="preserve"> las acciones correspondientes.</w:t>
      </w:r>
      <w:r w:rsidR="52414586" w:rsidRPr="0081375C">
        <w:rPr>
          <w:rFonts w:ascii="Arial" w:eastAsia="Aptos" w:hAnsi="Arial" w:cs="Arial"/>
          <w:color w:val="000000" w:themeColor="text1"/>
        </w:rPr>
        <w:t xml:space="preserve"> El periodo máximo entre seguimientos</w:t>
      </w:r>
      <w:r w:rsidR="604750A9" w:rsidRPr="0081375C">
        <w:rPr>
          <w:rFonts w:ascii="Arial" w:eastAsia="Aptos" w:hAnsi="Arial" w:cs="Arial"/>
          <w:color w:val="000000" w:themeColor="text1"/>
        </w:rPr>
        <w:t xml:space="preserve"> será de 3 meses</w:t>
      </w:r>
      <w:r w:rsidR="52414586" w:rsidRPr="0081375C">
        <w:rPr>
          <w:rFonts w:ascii="Arial" w:eastAsia="Aptos" w:hAnsi="Arial" w:cs="Arial"/>
          <w:color w:val="000000" w:themeColor="text1"/>
        </w:rPr>
        <w:t xml:space="preserve"> contados desde </w:t>
      </w:r>
      <w:r w:rsidR="73684C63" w:rsidRPr="0081375C">
        <w:rPr>
          <w:rFonts w:ascii="Arial" w:eastAsia="Aptos" w:hAnsi="Arial" w:cs="Arial"/>
          <w:color w:val="000000" w:themeColor="text1"/>
        </w:rPr>
        <w:t xml:space="preserve">la fecha de cierre contable del mes en que se realizó el último informe. Cualquier situación que demande cambios en </w:t>
      </w:r>
      <w:r w:rsidR="16E47E79" w:rsidRPr="0081375C">
        <w:rPr>
          <w:rFonts w:ascii="Arial" w:eastAsia="Aptos" w:hAnsi="Arial" w:cs="Arial"/>
          <w:color w:val="000000" w:themeColor="text1"/>
        </w:rPr>
        <w:t>la temporalidad del seguimiento en un predio será procesada por el Comité Técnico.</w:t>
      </w:r>
    </w:p>
    <w:p w14:paraId="014616D3" w14:textId="62C5AE56" w:rsidR="729FED67" w:rsidRPr="0081375C" w:rsidRDefault="729FED67" w:rsidP="729FED67">
      <w:pPr>
        <w:spacing w:line="23" w:lineRule="atLeast"/>
        <w:jc w:val="both"/>
        <w:rPr>
          <w:rFonts w:ascii="Arial" w:eastAsia="Aptos" w:hAnsi="Arial" w:cs="Arial"/>
          <w:color w:val="000000" w:themeColor="text1"/>
        </w:rPr>
      </w:pPr>
    </w:p>
    <w:p w14:paraId="2E0BAD6B" w14:textId="1DDA926C" w:rsidR="15FAB3C3" w:rsidRPr="0081375C" w:rsidRDefault="15FAB3C3" w:rsidP="729FED67">
      <w:pPr>
        <w:spacing w:line="23" w:lineRule="atLeast"/>
        <w:jc w:val="both"/>
        <w:rPr>
          <w:rFonts w:ascii="Arial" w:eastAsia="Aptos" w:hAnsi="Arial" w:cs="Arial"/>
          <w:color w:val="000000" w:themeColor="text1"/>
        </w:rPr>
      </w:pPr>
      <w:r w:rsidRPr="0081375C">
        <w:rPr>
          <w:rFonts w:ascii="Arial" w:eastAsia="Aptos" w:hAnsi="Arial" w:cs="Arial"/>
          <w:color w:val="000000" w:themeColor="text1"/>
        </w:rPr>
        <w:t>En caso de ser necesario bajo criterios de eficiencia, el operador podrá cambiar el bloque mensual al que pertenece un predio. En este caso se adelantarán las acciones d</w:t>
      </w:r>
      <w:r w:rsidR="440B4639" w:rsidRPr="0081375C">
        <w:rPr>
          <w:rFonts w:ascii="Arial" w:eastAsia="Aptos" w:hAnsi="Arial" w:cs="Arial"/>
          <w:color w:val="000000" w:themeColor="text1"/>
        </w:rPr>
        <w:t xml:space="preserve">e seguimiento y se realizará el pago parcial correspondiente. En ningún caso se realizarán cambios de bloque extendiendo </w:t>
      </w:r>
      <w:r w:rsidR="4DE85CB4" w:rsidRPr="0081375C">
        <w:rPr>
          <w:rFonts w:ascii="Arial" w:eastAsia="Aptos" w:hAnsi="Arial" w:cs="Arial"/>
          <w:color w:val="000000" w:themeColor="text1"/>
        </w:rPr>
        <w:t>los pagos a más de 3 meses.</w:t>
      </w:r>
      <w:r w:rsidR="0854399F" w:rsidRPr="0081375C">
        <w:rPr>
          <w:rFonts w:ascii="Arial" w:eastAsia="Aptos" w:hAnsi="Arial" w:cs="Arial"/>
          <w:color w:val="000000" w:themeColor="text1"/>
        </w:rPr>
        <w:t xml:space="preserve"> Todos los cambios de bloque serán registrados por el operador y serán comunicados a la supervisión.</w:t>
      </w:r>
    </w:p>
    <w:p w14:paraId="19D7D136" w14:textId="6D3643E1" w:rsidR="729FED67" w:rsidRPr="0081375C" w:rsidRDefault="729FED67" w:rsidP="729FED67">
      <w:pPr>
        <w:spacing w:line="23" w:lineRule="atLeast"/>
        <w:jc w:val="both"/>
        <w:rPr>
          <w:rFonts w:ascii="Arial" w:eastAsia="Aptos" w:hAnsi="Arial" w:cs="Arial"/>
          <w:color w:val="000000" w:themeColor="text1"/>
        </w:rPr>
      </w:pPr>
    </w:p>
    <w:p w14:paraId="419C9A23" w14:textId="39028D8B"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94" w:name="_Toc233304195"/>
      <w:r w:rsidRPr="0081375C">
        <w:rPr>
          <w:rFonts w:eastAsia="Aptos" w:cs="Arial"/>
          <w:bCs/>
          <w:color w:val="000000" w:themeColor="text1"/>
        </w:rPr>
        <w:t xml:space="preserve">Seguimiento </w:t>
      </w:r>
      <w:r w:rsidR="00965948" w:rsidRPr="0081375C">
        <w:rPr>
          <w:rFonts w:eastAsia="Aptos" w:cs="Arial"/>
          <w:bCs/>
          <w:color w:val="000000" w:themeColor="text1"/>
        </w:rPr>
        <w:t>J</w:t>
      </w:r>
      <w:r w:rsidRPr="0081375C">
        <w:rPr>
          <w:rFonts w:eastAsia="Aptos" w:cs="Arial"/>
          <w:bCs/>
          <w:color w:val="000000" w:themeColor="text1"/>
        </w:rPr>
        <w:t>urídico</w:t>
      </w:r>
      <w:bookmarkEnd w:id="94"/>
    </w:p>
    <w:p w14:paraId="4C7ED27C" w14:textId="77777777" w:rsidR="00882F6D" w:rsidRPr="0081375C" w:rsidRDefault="00882F6D" w:rsidP="00882F6D">
      <w:pPr>
        <w:rPr>
          <w:rFonts w:ascii="Arial" w:hAnsi="Arial" w:cs="Arial"/>
        </w:rPr>
      </w:pPr>
    </w:p>
    <w:p w14:paraId="29FF8356" w14:textId="32DE8C13"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seguimiento jurídico se ejecuta de forma trimestral para cada predio vinculado al esquema, organizado en tres bloques escalonados de manera que </w:t>
      </w:r>
      <w:r w:rsidR="002A1469" w:rsidRPr="0081375C">
        <w:rPr>
          <w:rFonts w:ascii="Arial" w:eastAsia="Arial" w:hAnsi="Arial" w:cs="Arial"/>
          <w:color w:val="000000" w:themeColor="text1"/>
        </w:rPr>
        <w:t xml:space="preserve">en </w:t>
      </w:r>
      <w:r w:rsidRPr="0081375C">
        <w:rPr>
          <w:rFonts w:ascii="Arial" w:eastAsia="Arial" w:hAnsi="Arial" w:cs="Arial"/>
          <w:color w:val="000000" w:themeColor="text1"/>
        </w:rPr>
        <w:t xml:space="preserve">cada mes </w:t>
      </w:r>
      <w:r w:rsidR="35D3F8C2" w:rsidRPr="0081375C">
        <w:rPr>
          <w:rFonts w:ascii="Arial" w:eastAsia="Arial" w:hAnsi="Arial" w:cs="Arial"/>
          <w:color w:val="000000" w:themeColor="text1"/>
        </w:rPr>
        <w:t>se</w:t>
      </w:r>
      <w:r w:rsidR="74CDA5E4" w:rsidRPr="0081375C">
        <w:rPr>
          <w:rFonts w:ascii="Arial" w:eastAsia="Arial" w:hAnsi="Arial" w:cs="Arial"/>
          <w:color w:val="000000" w:themeColor="text1"/>
        </w:rPr>
        <w:t xml:space="preserve"> atiende un bloque</w:t>
      </w:r>
      <w:r w:rsidR="53ABCE9C" w:rsidRPr="0081375C">
        <w:rPr>
          <w:rFonts w:ascii="Arial" w:eastAsia="Arial" w:hAnsi="Arial" w:cs="Arial"/>
          <w:color w:val="000000" w:themeColor="text1"/>
        </w:rPr>
        <w:t>.</w:t>
      </w:r>
      <w:r w:rsidRPr="0081375C">
        <w:rPr>
          <w:rFonts w:ascii="Arial" w:eastAsia="Arial" w:hAnsi="Arial" w:cs="Arial"/>
          <w:color w:val="000000" w:themeColor="text1"/>
        </w:rPr>
        <w:t xml:space="preserve"> Esta estructura distribuye la carga mensual de forma uniforme y sincroniza el concepto jurídico con el </w:t>
      </w:r>
      <w:r w:rsidR="65706669" w:rsidRPr="0081375C">
        <w:rPr>
          <w:rFonts w:ascii="Arial" w:eastAsia="Arial" w:hAnsi="Arial" w:cs="Arial"/>
          <w:color w:val="000000" w:themeColor="text1"/>
        </w:rPr>
        <w:t xml:space="preserve">cierre contable requerido como parte de la ejecución del </w:t>
      </w:r>
      <w:r w:rsidR="53ABCE9C" w:rsidRPr="0081375C">
        <w:rPr>
          <w:rFonts w:ascii="Arial" w:eastAsia="Arial" w:hAnsi="Arial" w:cs="Arial"/>
          <w:color w:val="000000" w:themeColor="text1"/>
        </w:rPr>
        <w:t>ciclo de pago.</w:t>
      </w:r>
    </w:p>
    <w:p w14:paraId="7EAD2C95" w14:textId="77777777" w:rsidR="00882F6D" w:rsidRPr="0081375C" w:rsidRDefault="00882F6D" w:rsidP="003F6B53">
      <w:pPr>
        <w:spacing w:line="23" w:lineRule="atLeast"/>
        <w:jc w:val="both"/>
        <w:rPr>
          <w:rFonts w:ascii="Arial" w:eastAsia="Aptos" w:hAnsi="Arial" w:cs="Arial"/>
          <w:color w:val="000000" w:themeColor="text1"/>
        </w:rPr>
      </w:pPr>
    </w:p>
    <w:p w14:paraId="3FBDC52B" w14:textId="2C33A3E3" w:rsidR="00882F6D" w:rsidRPr="0081375C" w:rsidRDefault="65049D20" w:rsidP="003F6B53">
      <w:pPr>
        <w:spacing w:line="23" w:lineRule="atLeast"/>
        <w:jc w:val="both"/>
      </w:pPr>
      <w:r w:rsidRPr="0081375C">
        <w:rPr>
          <w:rFonts w:ascii="Arial" w:eastAsia="Aptos" w:hAnsi="Arial" w:cs="Arial"/>
          <w:color w:val="000000" w:themeColor="text1"/>
        </w:rPr>
        <w:t xml:space="preserve">Al inicio </w:t>
      </w:r>
      <w:r w:rsidR="00F8306D" w:rsidRPr="0081375C">
        <w:rPr>
          <w:rFonts w:ascii="Arial" w:eastAsia="Aptos" w:hAnsi="Arial" w:cs="Arial"/>
          <w:color w:val="000000" w:themeColor="text1"/>
        </w:rPr>
        <w:t xml:space="preserve">de cada mes </w:t>
      </w:r>
      <w:r w:rsidR="0003315E" w:rsidRPr="0081375C">
        <w:rPr>
          <w:rFonts w:ascii="Arial" w:eastAsia="Aptos" w:hAnsi="Arial" w:cs="Arial"/>
          <w:color w:val="000000" w:themeColor="text1"/>
        </w:rPr>
        <w:t>en el trimestre</w:t>
      </w:r>
      <w:r w:rsidRPr="0081375C">
        <w:rPr>
          <w:rFonts w:ascii="Arial" w:eastAsia="Aptos" w:hAnsi="Arial" w:cs="Arial"/>
          <w:color w:val="000000" w:themeColor="text1"/>
        </w:rPr>
        <w:t>, se identifica el conjunto de predios objeto de verificación jurídica. Para cada uno de ellos, se consulta el folio de matrícula inmobiliaria a través de la Ventanilla Única de Registro (VUR) de la Superintendencia de Notariado y Registro, con el fin de verificar la situación jurídica actual del inmueble, incluyendo la titularidad del derecho de dominio, la existencia de medidas cautelares, gravámenes, limitaciones al dominio y demás anotaciones registrales. En el caso de los poseedores u ocupantes cuyos predios no cuentan con un folio de matrícula inmobiliaria susceptible de consulta, el concepto jurídico se fundamenta en los informes de verificación técnica que reposan en el expediente del predio, dejando constancia en el respectivo concepto de la limitación de la fuente de información.</w:t>
      </w:r>
    </w:p>
    <w:p w14:paraId="571FF28A" w14:textId="162C29F3" w:rsidR="00882F6D" w:rsidRPr="0081375C" w:rsidRDefault="00882F6D" w:rsidP="003F6B53">
      <w:pPr>
        <w:spacing w:line="23" w:lineRule="atLeast"/>
        <w:jc w:val="both"/>
        <w:rPr>
          <w:rFonts w:ascii="Arial" w:eastAsia="Aptos" w:hAnsi="Arial" w:cs="Arial"/>
          <w:color w:val="000000" w:themeColor="text1"/>
        </w:rPr>
      </w:pPr>
    </w:p>
    <w:p w14:paraId="1741E27A" w14:textId="5F7D3A73" w:rsidR="00882F6D" w:rsidRPr="0081375C" w:rsidRDefault="65049D20" w:rsidP="003F6B53">
      <w:pPr>
        <w:spacing w:line="23" w:lineRule="atLeast"/>
        <w:jc w:val="both"/>
      </w:pPr>
      <w:r w:rsidRPr="0081375C">
        <w:rPr>
          <w:rFonts w:ascii="Arial" w:eastAsia="Aptos" w:hAnsi="Arial" w:cs="Arial"/>
          <w:color w:val="000000" w:themeColor="text1"/>
        </w:rPr>
        <w:t>Como resultado de la verificación, las anotaciones registrales se analizan de acuerdo con su incidencia sobre el derecho de dominio. Cuando se evidencian actos que impliquen la transferencia de la propiedad, la pérdida de la titularidad o la existencia de medidas cautelares o actuaciones judiciales o administrativas que suspendan o impidan el ejercicio del dominio o la libre disposición del inmueble, se emite concepto jurídico no favorable y la situación se pone en conocimiento del Comité Técnico de Evaluación y Seguimiento (CTES) para la adopción de las actuaciones que correspondan respecto del acuerdo de conservación. Por el contrario, cuando las anotaciones correspondan a actos que no alteren la titularidad del dominio, tales como hipotecas, usufructos, servidumbres, afectación a vivienda familiar, patrimonio de familia u otras limitaciones que no impliquen la pérdida del derecho real de dominio, estas se registran como observaciones dentro del concepto jurídico, sin que, por sí solas, constituyan una causal para excluir el predio del esquema de PSAH.</w:t>
      </w:r>
    </w:p>
    <w:p w14:paraId="6B0CE8BF" w14:textId="3DD74314" w:rsidR="00882F6D" w:rsidRPr="0081375C" w:rsidRDefault="00882F6D" w:rsidP="003F6B53">
      <w:pPr>
        <w:spacing w:line="23" w:lineRule="atLeast"/>
        <w:jc w:val="both"/>
        <w:rPr>
          <w:rFonts w:ascii="Arial" w:eastAsia="Aptos" w:hAnsi="Arial" w:cs="Arial"/>
          <w:color w:val="000000" w:themeColor="text1"/>
        </w:rPr>
      </w:pPr>
    </w:p>
    <w:p w14:paraId="5FDDCD29" w14:textId="0C4BC56D"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concepto jurídico por predio se elabora en </w:t>
      </w:r>
      <w:r w:rsidR="74DC76BE" w:rsidRPr="0081375C">
        <w:rPr>
          <w:rFonts w:ascii="Arial" w:eastAsia="Arial" w:hAnsi="Arial" w:cs="Arial"/>
          <w:b/>
          <w:bCs/>
          <w:i/>
          <w:iCs/>
          <w:color w:val="000000" w:themeColor="text1"/>
        </w:rPr>
        <w:t xml:space="preserve">FO-GEAM </w:t>
      </w:r>
      <w:r w:rsidR="003B5BD7" w:rsidRPr="0081375C">
        <w:rPr>
          <w:rFonts w:ascii="Arial" w:eastAsia="Arial" w:hAnsi="Arial" w:cs="Arial"/>
          <w:b/>
          <w:bCs/>
          <w:i/>
          <w:iCs/>
          <w:color w:val="000000" w:themeColor="text1"/>
        </w:rPr>
        <w:t>Seg</w:t>
      </w:r>
      <w:r w:rsidR="006D629B" w:rsidRPr="0081375C">
        <w:rPr>
          <w:rFonts w:ascii="Arial" w:eastAsia="Arial" w:hAnsi="Arial" w:cs="Arial"/>
          <w:b/>
          <w:bCs/>
          <w:i/>
          <w:iCs/>
          <w:color w:val="000000" w:themeColor="text1"/>
        </w:rPr>
        <w:t>uimiento</w:t>
      </w:r>
      <w:r w:rsidR="000D75C2" w:rsidRPr="0081375C">
        <w:rPr>
          <w:rFonts w:ascii="Arial" w:eastAsia="Arial" w:hAnsi="Arial" w:cs="Arial"/>
          <w:b/>
          <w:bCs/>
          <w:i/>
          <w:iCs/>
          <w:color w:val="000000" w:themeColor="text1"/>
        </w:rPr>
        <w:t xml:space="preserve"> Jurídico Predios</w:t>
      </w:r>
      <w:r w:rsidRPr="0081375C">
        <w:rPr>
          <w:rFonts w:ascii="Arial" w:eastAsia="Arial" w:hAnsi="Arial" w:cs="Arial"/>
          <w:b/>
          <w:bCs/>
          <w:i/>
          <w:iCs/>
          <w:color w:val="000000" w:themeColor="text1"/>
        </w:rPr>
        <w:t>,</w:t>
      </w:r>
      <w:r w:rsidRPr="0081375C">
        <w:rPr>
          <w:rFonts w:ascii="Arial" w:eastAsia="Arial" w:hAnsi="Arial" w:cs="Arial"/>
          <w:color w:val="000000" w:themeColor="text1"/>
        </w:rPr>
        <w:t xml:space="preserve"> con cuatro componentes: datos de identificación del predio (matrícula inmobiliaria, anotaciones vigentes, CBML, ubicación), datos de identificación del participante (nombre completo y número de documento), concepto del estado jurídico del predio, y variaciones identificadas respecto al ciclo anterior. </w:t>
      </w:r>
      <w:r w:rsidR="73DBA701" w:rsidRPr="0081375C">
        <w:rPr>
          <w:rFonts w:ascii="Arial" w:eastAsia="Arial" w:hAnsi="Arial" w:cs="Arial"/>
          <w:color w:val="000000" w:themeColor="text1"/>
        </w:rPr>
        <w:t>Los conceptos del</w:t>
      </w:r>
      <w:r w:rsidRPr="0081375C" w:rsidDel="53ABCE9C">
        <w:rPr>
          <w:rFonts w:ascii="Arial" w:eastAsia="Arial" w:hAnsi="Arial" w:cs="Arial"/>
          <w:color w:val="000000" w:themeColor="text1"/>
        </w:rPr>
        <w:t xml:space="preserve"> </w:t>
      </w:r>
      <w:r w:rsidR="53ABCE9C" w:rsidRPr="0081375C">
        <w:rPr>
          <w:rFonts w:ascii="Arial" w:eastAsia="Arial" w:hAnsi="Arial" w:cs="Arial"/>
          <w:color w:val="000000" w:themeColor="text1"/>
        </w:rPr>
        <w:t xml:space="preserve">bloque </w:t>
      </w:r>
      <w:r w:rsidR="0E4B869B" w:rsidRPr="0081375C">
        <w:rPr>
          <w:rFonts w:ascii="Arial" w:eastAsia="Arial" w:hAnsi="Arial" w:cs="Arial"/>
          <w:color w:val="000000" w:themeColor="text1"/>
        </w:rPr>
        <w:t>de predios</w:t>
      </w:r>
      <w:r w:rsidRPr="0081375C">
        <w:rPr>
          <w:rFonts w:ascii="Arial" w:eastAsia="Arial" w:hAnsi="Arial" w:cs="Arial"/>
          <w:color w:val="000000" w:themeColor="text1"/>
        </w:rPr>
        <w:t xml:space="preserve"> se </w:t>
      </w:r>
      <w:r w:rsidR="1F4D4F60" w:rsidRPr="0081375C">
        <w:rPr>
          <w:rFonts w:ascii="Arial" w:eastAsia="Arial" w:hAnsi="Arial" w:cs="Arial"/>
          <w:color w:val="000000" w:themeColor="text1"/>
        </w:rPr>
        <w:t>entrega</w:t>
      </w:r>
      <w:r w:rsidR="50A7762E" w:rsidRPr="0081375C">
        <w:rPr>
          <w:rFonts w:ascii="Arial" w:eastAsia="Arial" w:hAnsi="Arial" w:cs="Arial"/>
          <w:color w:val="000000" w:themeColor="text1"/>
        </w:rPr>
        <w:t>n</w:t>
      </w:r>
      <w:r w:rsidRPr="0081375C">
        <w:rPr>
          <w:rFonts w:ascii="Arial" w:eastAsia="Arial" w:hAnsi="Arial" w:cs="Arial"/>
          <w:color w:val="000000" w:themeColor="text1"/>
        </w:rPr>
        <w:t xml:space="preserve"> a más tardar en el quinto día hábil del ciclo mensual correspondiente, contado desde el día siguiente al cierre contable anterior. Los plazos se expresan como días hábiles de ciclo; para cada proyecto, </w:t>
      </w:r>
      <w:r w:rsidR="1F4D4F60" w:rsidRPr="0081375C">
        <w:rPr>
          <w:rFonts w:ascii="Arial" w:eastAsia="Arial" w:hAnsi="Arial" w:cs="Arial"/>
          <w:color w:val="000000" w:themeColor="text1"/>
        </w:rPr>
        <w:t>l</w:t>
      </w:r>
      <w:r w:rsidR="12F837DC" w:rsidRPr="0081375C">
        <w:rPr>
          <w:rFonts w:ascii="Arial" w:eastAsia="Arial" w:hAnsi="Arial" w:cs="Arial"/>
          <w:color w:val="000000" w:themeColor="text1"/>
        </w:rPr>
        <w:t>as</w:t>
      </w:r>
      <w:r w:rsidRPr="0081375C">
        <w:rPr>
          <w:rFonts w:ascii="Arial" w:eastAsia="Arial" w:hAnsi="Arial" w:cs="Arial"/>
          <w:color w:val="000000" w:themeColor="text1"/>
        </w:rPr>
        <w:t xml:space="preserve"> fechas concretas se operacionalizan conforme a las fechas de cierre contable establecidas para el pago del incentivo.</w:t>
      </w:r>
    </w:p>
    <w:p w14:paraId="5DB132F8" w14:textId="4E11BED5" w:rsidR="729FED67" w:rsidRPr="0081375C" w:rsidRDefault="729FED67" w:rsidP="729FED67">
      <w:pPr>
        <w:spacing w:line="23" w:lineRule="atLeast"/>
        <w:jc w:val="both"/>
        <w:rPr>
          <w:rFonts w:ascii="Arial" w:eastAsia="Arial" w:hAnsi="Arial" w:cs="Arial"/>
          <w:color w:val="000000" w:themeColor="text1"/>
        </w:rPr>
      </w:pPr>
    </w:p>
    <w:p w14:paraId="3FAEC604" w14:textId="478ADCAF" w:rsidR="00825D4D" w:rsidRPr="0081375C" w:rsidRDefault="00806784" w:rsidP="003F6B53">
      <w:pPr>
        <w:spacing w:line="23" w:lineRule="atLeast"/>
        <w:jc w:val="both"/>
        <w:rPr>
          <w:rFonts w:ascii="Arial" w:hAnsi="Arial" w:cs="Arial"/>
          <w:b/>
          <w:bCs/>
          <w:color w:val="000000" w:themeColor="text1"/>
          <w:sz w:val="20"/>
          <w:szCs w:val="20"/>
        </w:rPr>
      </w:pPr>
      <w:bookmarkStart w:id="95" w:name="_Toc233040680"/>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373DA" w:rsidRPr="0081375C">
        <w:rPr>
          <w:rFonts w:ascii="Arial" w:hAnsi="Arial" w:cs="Arial"/>
          <w:b/>
          <w:bCs/>
          <w:noProof/>
          <w:color w:val="000000" w:themeColor="text1"/>
          <w:sz w:val="20"/>
          <w:szCs w:val="20"/>
        </w:rPr>
        <w:t>32</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Cronograma de seguimiento jurídico</w:t>
      </w:r>
      <w:bookmarkEnd w:id="95"/>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4334"/>
        <w:gridCol w:w="4302"/>
      </w:tblGrid>
      <w:tr w:rsidR="00825D4D" w:rsidRPr="0081375C" w14:paraId="61422A91" w14:textId="77777777" w:rsidTr="65049D20">
        <w:trPr>
          <w:trHeight w:val="20"/>
          <w:tblHeader/>
        </w:trPr>
        <w:tc>
          <w:tcPr>
            <w:tcW w:w="43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EF5468"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5E22A"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Plazo relativo al cierre contable</w:t>
            </w:r>
          </w:p>
        </w:tc>
      </w:tr>
      <w:tr w:rsidR="00825D4D" w:rsidRPr="0081375C" w14:paraId="23B12788" w14:textId="77777777" w:rsidTr="65049D20">
        <w:trPr>
          <w:trHeight w:val="20"/>
        </w:trPr>
        <w:tc>
          <w:tcPr>
            <w:tcW w:w="43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7D730" w14:textId="6B8E8FF8"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Identificación de predios del bloque</w:t>
            </w:r>
            <w:r w:rsidR="002A1469" w:rsidRPr="0081375C">
              <w:rPr>
                <w:rFonts w:ascii="Arial" w:eastAsia="Arial" w:hAnsi="Arial" w:cs="Arial"/>
                <w:color w:val="000000" w:themeColor="text1"/>
                <w:sz w:val="20"/>
                <w:szCs w:val="20"/>
              </w:rPr>
              <w:t>/mes</w:t>
            </w: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73677" w14:textId="6607EA1A"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 hábil 1 del ciclo (día siguiente al cierre contable anterior)</w:t>
            </w:r>
          </w:p>
        </w:tc>
      </w:tr>
      <w:tr w:rsidR="00825D4D" w:rsidRPr="0081375C" w14:paraId="7656D75D" w14:textId="77777777" w:rsidTr="65049D20">
        <w:trPr>
          <w:trHeight w:val="20"/>
        </w:trPr>
        <w:tc>
          <w:tcPr>
            <w:tcW w:w="43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65E00" w14:textId="6CB8B4C6" w:rsidR="00825D4D" w:rsidRPr="0081375C" w:rsidRDefault="65049D20" w:rsidP="65049D20">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 Consulta Ventanilla Única de Registro (VUR) y elaboración </w:t>
            </w:r>
            <w:r w:rsidR="002A1469" w:rsidRPr="0081375C">
              <w:rPr>
                <w:rFonts w:ascii="Arial" w:eastAsia="Arial" w:hAnsi="Arial" w:cs="Arial"/>
                <w:color w:val="000000" w:themeColor="text1"/>
                <w:sz w:val="20"/>
                <w:szCs w:val="20"/>
              </w:rPr>
              <w:t>verificación</w:t>
            </w:r>
            <w:r w:rsidRPr="0081375C">
              <w:rPr>
                <w:rFonts w:ascii="Arial" w:eastAsia="Arial" w:hAnsi="Arial" w:cs="Arial"/>
                <w:color w:val="000000" w:themeColor="text1"/>
                <w:sz w:val="20"/>
                <w:szCs w:val="20"/>
              </w:rPr>
              <w:t xml:space="preserve"> jurídica</w:t>
            </w: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911EC9" w14:textId="23171CAC" w:rsidR="00825D4D" w:rsidRPr="0081375C" w:rsidRDefault="00806784" w:rsidP="00081EA6">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hábiles 1–5 del ciclo</w:t>
            </w:r>
          </w:p>
        </w:tc>
      </w:tr>
      <w:tr w:rsidR="00825D4D" w:rsidRPr="0081375C" w14:paraId="3985E170" w14:textId="77777777" w:rsidTr="65049D20">
        <w:trPr>
          <w:trHeight w:val="20"/>
        </w:trPr>
        <w:tc>
          <w:tcPr>
            <w:tcW w:w="43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0FC86"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Entrega del concepto jurídico</w:t>
            </w: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3496B1" w14:textId="45B7D789" w:rsidR="00825D4D" w:rsidRPr="0081375C" w:rsidRDefault="00806784">
            <w:pPr>
              <w:spacing w:line="23" w:lineRule="atLeast"/>
              <w:jc w:val="center"/>
              <w:rPr>
                <w:rFonts w:ascii="Arial" w:hAnsi="Arial" w:cs="Arial"/>
                <w:color w:val="000000" w:themeColor="text1"/>
                <w:sz w:val="20"/>
                <w:szCs w:val="20"/>
              </w:rPr>
            </w:pPr>
            <w:r w:rsidRPr="0081375C">
              <w:rPr>
                <w:rFonts w:ascii="Arial" w:eastAsia="Arial" w:hAnsi="Arial" w:cs="Arial"/>
                <w:color w:val="000000" w:themeColor="text1"/>
                <w:sz w:val="20"/>
                <w:szCs w:val="20"/>
              </w:rPr>
              <w:t>Cierre del día hábil 5 (quince días hábiles antes del cierre contable siguiente)</w:t>
            </w:r>
          </w:p>
        </w:tc>
      </w:tr>
    </w:tbl>
    <w:p w14:paraId="6026570F" w14:textId="77777777" w:rsidR="00825D4D" w:rsidRPr="0081375C" w:rsidRDefault="00825D4D" w:rsidP="003F6B53">
      <w:pPr>
        <w:spacing w:line="23" w:lineRule="atLeast"/>
        <w:jc w:val="both"/>
        <w:rPr>
          <w:rFonts w:ascii="Arial" w:eastAsia="Arial" w:hAnsi="Arial" w:cs="Arial"/>
          <w:color w:val="000000" w:themeColor="text1"/>
        </w:rPr>
      </w:pPr>
    </w:p>
    <w:p w14:paraId="790AE710" w14:textId="1DD4880F" w:rsidR="00825D4D" w:rsidRPr="0081375C" w:rsidRDefault="53ABCE9C" w:rsidP="0070084E">
      <w:pPr>
        <w:pStyle w:val="Ttulo4"/>
        <w:numPr>
          <w:ilvl w:val="3"/>
          <w:numId w:val="27"/>
        </w:numPr>
        <w:spacing w:before="0" w:after="0" w:line="23" w:lineRule="atLeast"/>
        <w:rPr>
          <w:rFonts w:eastAsia="Aptos" w:cs="Arial"/>
          <w:bCs/>
          <w:color w:val="000000" w:themeColor="text1"/>
        </w:rPr>
      </w:pPr>
      <w:bookmarkStart w:id="96" w:name="_Toc233304196"/>
      <w:r w:rsidRPr="0081375C">
        <w:rPr>
          <w:rFonts w:eastAsia="Aptos" w:cs="Arial"/>
          <w:bCs/>
          <w:color w:val="000000" w:themeColor="text1"/>
        </w:rPr>
        <w:t xml:space="preserve">Seguimiento </w:t>
      </w:r>
      <w:r w:rsidR="66D06CC0" w:rsidRPr="0081375C">
        <w:rPr>
          <w:rFonts w:eastAsia="Aptos" w:cs="Arial"/>
          <w:bCs/>
          <w:color w:val="000000" w:themeColor="text1"/>
        </w:rPr>
        <w:t>T</w:t>
      </w:r>
      <w:r w:rsidRPr="0081375C">
        <w:rPr>
          <w:rFonts w:eastAsia="Aptos" w:cs="Arial"/>
          <w:bCs/>
          <w:color w:val="000000" w:themeColor="text1"/>
        </w:rPr>
        <w:t>écnico</w:t>
      </w:r>
      <w:r w:rsidR="1B26CBDD" w:rsidRPr="0081375C">
        <w:rPr>
          <w:rFonts w:eastAsia="Aptos" w:cs="Arial"/>
          <w:bCs/>
          <w:color w:val="000000" w:themeColor="text1"/>
        </w:rPr>
        <w:t xml:space="preserve"> e Informe de Seguimiento Trimestral</w:t>
      </w:r>
      <w:bookmarkEnd w:id="96"/>
    </w:p>
    <w:p w14:paraId="4C31443E" w14:textId="77777777" w:rsidR="00882F6D" w:rsidRPr="0081375C" w:rsidRDefault="00882F6D" w:rsidP="00882F6D">
      <w:pPr>
        <w:rPr>
          <w:rFonts w:ascii="Arial" w:hAnsi="Arial" w:cs="Arial"/>
        </w:rPr>
      </w:pPr>
    </w:p>
    <w:p w14:paraId="5528380A" w14:textId="0DB33D99"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Informe de Verificación y Seguimiento (IVS) verifica trimestralmente el cumplimiento de las obligaciones del Acuerdo de Pago en cada predio</w:t>
      </w:r>
      <w:r w:rsidR="773A074C" w:rsidRPr="0081375C">
        <w:rPr>
          <w:rFonts w:ascii="Arial" w:eastAsia="Arial" w:hAnsi="Arial" w:cs="Arial"/>
          <w:color w:val="000000" w:themeColor="text1"/>
        </w:rPr>
        <w:t xml:space="preserve"> en el FO-GEAM</w:t>
      </w:r>
      <w:r w:rsidR="53ABCE9C" w:rsidRPr="0081375C">
        <w:rPr>
          <w:rFonts w:ascii="Arial" w:eastAsia="Arial" w:hAnsi="Arial" w:cs="Arial"/>
          <w:color w:val="000000" w:themeColor="text1"/>
        </w:rPr>
        <w:t>.</w:t>
      </w:r>
      <w:r w:rsidRPr="0081375C">
        <w:rPr>
          <w:rFonts w:ascii="Arial" w:eastAsia="Arial" w:hAnsi="Arial" w:cs="Arial"/>
          <w:color w:val="000000" w:themeColor="text1"/>
        </w:rPr>
        <w:t xml:space="preserve"> Los predios se organizan en los mismos tres bloques escalonados y el IVS se entrega en la misma mensualidad en que el bloque completa su ciclo trimestral.</w:t>
      </w:r>
    </w:p>
    <w:p w14:paraId="2C537AEE" w14:textId="77777777" w:rsidR="00882F6D" w:rsidRPr="0081375C" w:rsidRDefault="00882F6D" w:rsidP="003F6B53">
      <w:pPr>
        <w:spacing w:line="23" w:lineRule="atLeast"/>
        <w:jc w:val="both"/>
        <w:rPr>
          <w:rFonts w:ascii="Arial" w:eastAsia="Aptos" w:hAnsi="Arial" w:cs="Arial"/>
          <w:color w:val="000000" w:themeColor="text1"/>
        </w:rPr>
      </w:pPr>
    </w:p>
    <w:p w14:paraId="2B2C2BE3" w14:textId="414BECE3" w:rsidR="00825D4D" w:rsidRPr="0081375C" w:rsidRDefault="65049D20"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ciclo inicia con una visita de campo al predio. Durante la visita se desarrollan tres tareas: se verifica el cumplimiento de las obligaciones del acuerdo para las áreas elegibles en preservación y restauración, siguiendo los lineamientos del procedimiento de incumplimientos y sanciones descrito en esta guía se identifican las medidas necesarias para mitigar presiones antrópicas o resolver inconvenientes en las áreas bajo preservación o restauración; y se determina si durante el trimestre ocurrieron situaciones de origen natural o afectaciones por terceros, como incendios, deslizamientos o volcamiento masivo de árboles, no imputables al participante.</w:t>
      </w:r>
    </w:p>
    <w:p w14:paraId="23535091" w14:textId="77777777" w:rsidR="00882F6D" w:rsidRPr="0081375C" w:rsidRDefault="00882F6D" w:rsidP="003F6B53">
      <w:pPr>
        <w:spacing w:line="23" w:lineRule="atLeast"/>
        <w:jc w:val="both"/>
        <w:rPr>
          <w:rFonts w:ascii="Arial" w:eastAsia="Aptos" w:hAnsi="Arial" w:cs="Arial"/>
          <w:color w:val="000000" w:themeColor="text1"/>
        </w:rPr>
      </w:pPr>
    </w:p>
    <w:p w14:paraId="589C6BEB"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IVS comprende cinco componentes: (1) ubicación y características generales del predio y del participante; (2) plan de pagos y desembolsos; (3) seguimiento y verificación del cumplimiento del acuerdo, desagregado por área elegible en conservación y restauración; (4) recomendaciones generales; y (5) aval del desembolso. </w:t>
      </w:r>
    </w:p>
    <w:p w14:paraId="02BCD043" w14:textId="77777777" w:rsidR="00882F6D" w:rsidRPr="0081375C" w:rsidRDefault="00882F6D" w:rsidP="003F6B53">
      <w:pPr>
        <w:spacing w:line="23" w:lineRule="atLeast"/>
        <w:jc w:val="both"/>
        <w:rPr>
          <w:rFonts w:ascii="Arial" w:eastAsia="Arial" w:hAnsi="Arial" w:cs="Arial"/>
          <w:color w:val="000000" w:themeColor="text1"/>
        </w:rPr>
      </w:pPr>
    </w:p>
    <w:p w14:paraId="04978E7C" w14:textId="5135CAF6"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Cuando se identifican incumplimientos, se clasifican según el procedimiento de control y seguimiento establecido en el protocolo y se aplican las acciones correctivas correspondientes; los incumplimientos que superan el umbral de parcialidad o momentaneidad se trasladan, donde el informe acompaña la alerta como documento de soporte del proceso sancionatorio. Cuando se identifican afectaciones de origen natural o por terceros, se evalúa la pertinencia de transición del área afectada de preservación a restauración, sujeta a disponibilidad presupuestal</w:t>
      </w:r>
      <w:r w:rsidR="6F57B4E3" w:rsidRPr="0081375C">
        <w:rPr>
          <w:rFonts w:ascii="Arial" w:eastAsia="Arial" w:hAnsi="Arial" w:cs="Arial"/>
          <w:color w:val="000000" w:themeColor="text1"/>
        </w:rPr>
        <w:t xml:space="preserve"> del participante</w:t>
      </w:r>
      <w:r w:rsidRPr="0081375C">
        <w:rPr>
          <w:rFonts w:ascii="Arial" w:eastAsia="Arial" w:hAnsi="Arial" w:cs="Arial"/>
          <w:color w:val="000000" w:themeColor="text1"/>
        </w:rPr>
        <w:t>, y se coordina el ajuste del acuerdo cuando corresponda; la evaluación de esta pertinencia debe quedar documentada en el informe y en el expediente. Cuando existe una alerta jurídica de Grupo 1 sin resolver el aval del desembolso queda retenido hasta la resolución de la alerta y la retención se documenta en el informe.</w:t>
      </w:r>
    </w:p>
    <w:p w14:paraId="0BAE5ABD" w14:textId="77777777" w:rsidR="00882F6D" w:rsidRPr="0081375C" w:rsidRDefault="00882F6D" w:rsidP="003F6B53">
      <w:pPr>
        <w:spacing w:line="23" w:lineRule="atLeast"/>
        <w:jc w:val="both"/>
        <w:rPr>
          <w:rFonts w:ascii="Arial" w:eastAsia="Aptos" w:hAnsi="Arial" w:cs="Arial"/>
          <w:color w:val="000000" w:themeColor="text1"/>
        </w:rPr>
      </w:pPr>
    </w:p>
    <w:p w14:paraId="0D7DCFC6" w14:textId="1E8F8B13" w:rsidR="00825D4D" w:rsidRPr="0081375C" w:rsidRDefault="4FF39E46"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w:t>
      </w:r>
      <w:r w:rsidR="00A70605" w:rsidRPr="0081375C">
        <w:rPr>
          <w:rFonts w:ascii="Arial" w:eastAsia="Arial" w:hAnsi="Arial" w:cs="Arial"/>
          <w:color w:val="000000" w:themeColor="text1"/>
        </w:rPr>
        <w:t>l</w:t>
      </w:r>
      <w:r w:rsidRPr="0081375C">
        <w:rPr>
          <w:rFonts w:ascii="Arial" w:eastAsia="Arial" w:hAnsi="Arial" w:cs="Arial"/>
          <w:color w:val="000000" w:themeColor="text1"/>
        </w:rPr>
        <w:t xml:space="preserve"> informe es aprobado por el profesional de seguimiento</w:t>
      </w:r>
      <w:r w:rsidR="70FD1E98" w:rsidRPr="0081375C">
        <w:rPr>
          <w:rFonts w:ascii="Arial" w:eastAsia="Arial" w:hAnsi="Arial" w:cs="Arial"/>
          <w:color w:val="000000" w:themeColor="text1"/>
        </w:rPr>
        <w:t xml:space="preserve"> del operador con revisiones y consultas de casos críticos por parte de la supervisión</w:t>
      </w:r>
      <w:r w:rsidR="69F65FC6" w:rsidRPr="0081375C">
        <w:rPr>
          <w:rFonts w:ascii="Arial" w:eastAsia="Arial" w:hAnsi="Arial" w:cs="Arial"/>
          <w:color w:val="000000" w:themeColor="text1"/>
        </w:rPr>
        <w:t xml:space="preserve">. </w:t>
      </w:r>
      <w:r w:rsidR="00806784" w:rsidRPr="0081375C">
        <w:rPr>
          <w:rFonts w:ascii="Arial" w:eastAsia="Arial" w:hAnsi="Arial" w:cs="Arial"/>
          <w:color w:val="000000" w:themeColor="text1"/>
        </w:rPr>
        <w:t>Una vez aprobado, se socializa con el participante, de forma virtual o presencial, y el participante firma el informe. El informe aprobado y firmado se archiva en el expediente del predio antes del cierre del día hábil 13 del ciclo mensual; este archivo es la condición de entrada para la gestión del pago en los días hábiles 14 a 20 del ciclo, reservados para las actividades previas al cierre contable.</w:t>
      </w:r>
    </w:p>
    <w:p w14:paraId="180081BD" w14:textId="77777777" w:rsidR="00882F6D" w:rsidRPr="0081375C" w:rsidRDefault="00882F6D" w:rsidP="003F6B53">
      <w:pPr>
        <w:spacing w:line="23" w:lineRule="atLeast"/>
        <w:jc w:val="both"/>
        <w:rPr>
          <w:rFonts w:ascii="Arial" w:eastAsia="Aptos" w:hAnsi="Arial" w:cs="Arial"/>
          <w:color w:val="000000" w:themeColor="text1"/>
        </w:rPr>
      </w:pPr>
    </w:p>
    <w:p w14:paraId="2FA28108"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aval técnico favorable del IVS, concurrente con el concepto jurídico favorable habilita el reconocimiento del incentivo.</w:t>
      </w:r>
    </w:p>
    <w:p w14:paraId="06BEC48C" w14:textId="77777777" w:rsidR="00882F6D" w:rsidRPr="0081375C" w:rsidRDefault="00882F6D" w:rsidP="003F6B53">
      <w:pPr>
        <w:spacing w:line="23" w:lineRule="atLeast"/>
        <w:jc w:val="both"/>
        <w:rPr>
          <w:rFonts w:ascii="Arial" w:eastAsia="Aptos" w:hAnsi="Arial" w:cs="Arial"/>
          <w:color w:val="000000" w:themeColor="text1"/>
        </w:rPr>
      </w:pPr>
    </w:p>
    <w:p w14:paraId="201D2163" w14:textId="6C1E58FA" w:rsidR="00825D4D" w:rsidRPr="0081375C" w:rsidRDefault="00806784" w:rsidP="003F6B53">
      <w:pPr>
        <w:spacing w:line="23" w:lineRule="atLeast"/>
        <w:jc w:val="both"/>
        <w:rPr>
          <w:rFonts w:ascii="Arial" w:hAnsi="Arial" w:cs="Arial"/>
          <w:b/>
          <w:bCs/>
          <w:color w:val="000000" w:themeColor="text1"/>
          <w:sz w:val="20"/>
          <w:szCs w:val="20"/>
        </w:rPr>
      </w:pPr>
      <w:bookmarkStart w:id="97" w:name="_Toc233040681"/>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34</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Cronograma de </w:t>
      </w:r>
      <w:r w:rsidR="44135878" w:rsidRPr="0081375C">
        <w:rPr>
          <w:rFonts w:ascii="Arial" w:hAnsi="Arial" w:cs="Arial"/>
          <w:b/>
          <w:bCs/>
          <w:color w:val="000000" w:themeColor="text1"/>
          <w:sz w:val="20"/>
          <w:szCs w:val="20"/>
        </w:rPr>
        <w:t xml:space="preserve">seguimiento técnico y </w:t>
      </w:r>
      <w:r w:rsidRPr="0081375C">
        <w:rPr>
          <w:rFonts w:ascii="Arial" w:hAnsi="Arial" w:cs="Arial"/>
          <w:b/>
          <w:bCs/>
          <w:color w:val="000000" w:themeColor="text1"/>
          <w:sz w:val="20"/>
          <w:szCs w:val="20"/>
        </w:rPr>
        <w:t>aprobación pago del incentivo</w:t>
      </w:r>
      <w:bookmarkEnd w:id="97"/>
      <w:r w:rsidRPr="0081375C">
        <w:rPr>
          <w:rFonts w:ascii="Arial" w:hAnsi="Arial" w:cs="Arial"/>
          <w:b/>
          <w:bCs/>
          <w:color w:val="000000" w:themeColor="text1"/>
          <w:sz w:val="20"/>
          <w:szCs w:val="20"/>
        </w:rPr>
        <w:t xml:space="preserve"> </w:t>
      </w:r>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4347"/>
        <w:gridCol w:w="4289"/>
      </w:tblGrid>
      <w:tr w:rsidR="00825D4D" w:rsidRPr="0081375C" w14:paraId="2F012805" w14:textId="77777777" w:rsidTr="65049D20">
        <w:trPr>
          <w:trHeight w:val="20"/>
          <w:tblHeader/>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968578"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8B1067"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Plazo relativo al cierre contable</w:t>
            </w:r>
          </w:p>
        </w:tc>
      </w:tr>
      <w:tr w:rsidR="00825D4D" w:rsidRPr="0081375C" w14:paraId="100E01D6"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9112B" w14:textId="77777777" w:rsidR="00825D4D" w:rsidRPr="0081375C" w:rsidRDefault="65049D20"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Visita de campo y elaboración del IVS</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C49829" w14:textId="77777777" w:rsidR="00825D4D" w:rsidRPr="0081375C" w:rsidRDefault="65049D20"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Días hábiles 1–13 del ciclo</w:t>
            </w:r>
          </w:p>
        </w:tc>
      </w:tr>
      <w:tr w:rsidR="00825D4D" w:rsidRPr="0081375C" w14:paraId="15B5FE1F"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93747" w14:textId="6A35FDAB" w:rsidR="00825D4D" w:rsidRPr="0081375C" w:rsidRDefault="00806784">
            <w:pPr>
              <w:spacing w:line="23" w:lineRule="atLeast"/>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 xml:space="preserve">Aprobación </w:t>
            </w:r>
            <w:r w:rsidR="53ABCE9C" w:rsidRPr="0081375C">
              <w:rPr>
                <w:rFonts w:ascii="Arial" w:eastAsia="Arial" w:hAnsi="Arial" w:cs="Arial"/>
                <w:color w:val="000000" w:themeColor="text1"/>
                <w:sz w:val="20"/>
                <w:szCs w:val="20"/>
              </w:rPr>
              <w:t>de</w:t>
            </w:r>
            <w:r w:rsidR="08DFFD70" w:rsidRPr="0081375C">
              <w:rPr>
                <w:rFonts w:ascii="Arial" w:eastAsia="Arial" w:hAnsi="Arial" w:cs="Arial"/>
                <w:color w:val="000000" w:themeColor="text1"/>
                <w:sz w:val="20"/>
                <w:szCs w:val="20"/>
              </w:rPr>
              <w:t xml:space="preserve">l área </w:t>
            </w:r>
            <w:r w:rsidRPr="0081375C">
              <w:rPr>
                <w:rFonts w:ascii="Arial" w:eastAsia="Arial" w:hAnsi="Arial" w:cs="Arial"/>
                <w:color w:val="000000" w:themeColor="text1"/>
                <w:sz w:val="20"/>
                <w:szCs w:val="20"/>
              </w:rPr>
              <w:t xml:space="preserve">de </w:t>
            </w:r>
            <w:r w:rsidR="08DFFD70" w:rsidRPr="0081375C">
              <w:rPr>
                <w:rFonts w:ascii="Arial" w:eastAsia="Arial" w:hAnsi="Arial" w:cs="Arial"/>
                <w:color w:val="000000" w:themeColor="text1"/>
                <w:sz w:val="20"/>
                <w:szCs w:val="20"/>
              </w:rPr>
              <w:t>seguimiento</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7A4BAD" w14:textId="3D1B7AC8"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Hasta el cierre del día hábil </w:t>
            </w:r>
            <w:r w:rsidR="53ABCE9C" w:rsidRPr="0081375C">
              <w:rPr>
                <w:rFonts w:ascii="Arial" w:eastAsia="Arial" w:hAnsi="Arial" w:cs="Arial"/>
                <w:color w:val="000000" w:themeColor="text1"/>
                <w:sz w:val="20"/>
                <w:szCs w:val="20"/>
              </w:rPr>
              <w:t>1</w:t>
            </w:r>
            <w:r w:rsidR="001461EF" w:rsidRPr="0081375C">
              <w:rPr>
                <w:rFonts w:ascii="Arial" w:eastAsia="Arial" w:hAnsi="Arial" w:cs="Arial"/>
                <w:color w:val="000000" w:themeColor="text1"/>
                <w:sz w:val="20"/>
                <w:szCs w:val="20"/>
              </w:rPr>
              <w:t>3</w:t>
            </w:r>
          </w:p>
        </w:tc>
      </w:tr>
      <w:tr w:rsidR="00825D4D" w:rsidRPr="0081375C" w14:paraId="1A213390"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E2AFAD"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Socialización con el participante y firma</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7A2D1A"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Hasta el cierre del día hábil 13</w:t>
            </w:r>
          </w:p>
        </w:tc>
      </w:tr>
      <w:tr w:rsidR="00825D4D" w:rsidRPr="0081375C" w14:paraId="12E9C345"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C3E220"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Archivo del informe aprobado y firmado en el expediente del predio</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68BB1"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Cierre del día hábil 13</w:t>
            </w:r>
          </w:p>
        </w:tc>
      </w:tr>
      <w:tr w:rsidR="00825D4D" w:rsidRPr="0081375C" w14:paraId="3ADA2BE0"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4E9DC"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Validación de documentación en carpetas</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BC74D0" w14:textId="77777777" w:rsidR="00825D4D" w:rsidRPr="0081375C" w:rsidRDefault="00806784" w:rsidP="00081EA6">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 hábil 14</w:t>
            </w:r>
          </w:p>
        </w:tc>
      </w:tr>
      <w:tr w:rsidR="00825D4D" w:rsidRPr="0081375C" w14:paraId="4D83D94D"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201D2"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Cálculo del valor del incentivo</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9CC023" w14:textId="3EFF6C1B" w:rsidR="00825D4D" w:rsidRPr="0081375C" w:rsidRDefault="00806784" w:rsidP="00081EA6">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 hábil 15</w:t>
            </w:r>
          </w:p>
        </w:tc>
      </w:tr>
      <w:tr w:rsidR="00825D4D" w:rsidRPr="0081375C" w14:paraId="20F48867"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344FF7"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Revisión de la supervisión (pago)</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C8D46" w14:textId="77777777" w:rsidR="00825D4D" w:rsidRPr="0081375C" w:rsidRDefault="00806784" w:rsidP="00081EA6">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hábiles 16–17</w:t>
            </w:r>
          </w:p>
        </w:tc>
      </w:tr>
      <w:tr w:rsidR="00825D4D" w:rsidRPr="0081375C" w14:paraId="563C0FA8"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21A651"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Radicación del oficio a la fiducia</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65589" w14:textId="77777777" w:rsidR="00825D4D" w:rsidRPr="0081375C" w:rsidRDefault="00806784" w:rsidP="00081EA6">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 hábil 18</w:t>
            </w:r>
          </w:p>
        </w:tc>
      </w:tr>
      <w:tr w:rsidR="00825D4D" w:rsidRPr="0081375C" w14:paraId="0D435EC5" w14:textId="77777777" w:rsidTr="65049D20">
        <w:trPr>
          <w:trHeight w:val="20"/>
        </w:trPr>
        <w:tc>
          <w:tcPr>
            <w:tcW w:w="43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18449" w14:textId="77777777" w:rsidR="00825D4D" w:rsidRPr="0081375C" w:rsidRDefault="00806784" w:rsidP="00081EA6">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Contabilización de incentivos en la plataforma</w:t>
            </w:r>
          </w:p>
        </w:tc>
        <w:tc>
          <w:tcPr>
            <w:tcW w:w="42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ACBFB5" w14:textId="77777777" w:rsidR="00825D4D" w:rsidRPr="0081375C" w:rsidRDefault="00806784" w:rsidP="00081EA6">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hábiles 19–20 / cierre contable</w:t>
            </w:r>
          </w:p>
        </w:tc>
      </w:tr>
    </w:tbl>
    <w:p w14:paraId="4ACF74F8" w14:textId="77777777" w:rsidR="00882F6D" w:rsidRPr="0081375C" w:rsidRDefault="00882F6D" w:rsidP="003F6B53">
      <w:pPr>
        <w:spacing w:line="23" w:lineRule="atLeast"/>
        <w:jc w:val="both"/>
        <w:rPr>
          <w:rFonts w:ascii="Arial" w:eastAsia="Arial" w:hAnsi="Arial" w:cs="Arial"/>
          <w:color w:val="000000" w:themeColor="text1"/>
        </w:rPr>
      </w:pPr>
    </w:p>
    <w:p w14:paraId="0676770D" w14:textId="284DC6C6"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Los plazos se expresan como días hábiles de ciclo: el día hábil 1 corresponde al día siguiente al cierre contable anterior y el día hábil 20 coincide con el cierre contable siguiente. Para cada proyecto, las fechas concretas se operacionalizan conforme a las fechas de cierre contable establecidas para el pago del incentivo.</w:t>
      </w:r>
    </w:p>
    <w:p w14:paraId="589081CD" w14:textId="77777777" w:rsidR="00882F6D" w:rsidRPr="0081375C" w:rsidRDefault="00882F6D" w:rsidP="003F6B53">
      <w:pPr>
        <w:spacing w:line="23" w:lineRule="atLeast"/>
        <w:jc w:val="both"/>
        <w:rPr>
          <w:rFonts w:ascii="Arial" w:eastAsia="Aptos" w:hAnsi="Arial" w:cs="Arial"/>
          <w:color w:val="000000" w:themeColor="text1"/>
        </w:rPr>
      </w:pPr>
    </w:p>
    <w:p w14:paraId="342AB5CB" w14:textId="3ED07EDF"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Las señales de alerta temprana registradas en los acercamientos individuales se consideran insumo del IVS antes de iniciar la visita; permiten orientar la verificación hacia los puntos del predio con mayor probabilidad de incumplimiento sin esperar a que este sea formal. La serie de IVS archivada constituye evidencia periódica del cumplimiento de las condiciones del acuerdo y alimenta el monitoreo de supuestos causales.</w:t>
      </w:r>
    </w:p>
    <w:p w14:paraId="68738B6E" w14:textId="77777777" w:rsidR="00882F6D" w:rsidRPr="0081375C" w:rsidRDefault="00882F6D" w:rsidP="003F6B53">
      <w:pPr>
        <w:spacing w:line="23" w:lineRule="atLeast"/>
        <w:jc w:val="both"/>
        <w:rPr>
          <w:rFonts w:ascii="Arial" w:eastAsia="Aptos" w:hAnsi="Arial" w:cs="Arial"/>
          <w:color w:val="000000" w:themeColor="text1"/>
        </w:rPr>
      </w:pPr>
    </w:p>
    <w:p w14:paraId="6C14D340" w14:textId="772D5170"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pertinencia de transición de un área de preservación a restauración por causas naturales o de terceros está sujeta a disponibilidad presupuestal</w:t>
      </w:r>
      <w:r w:rsidR="77A0725D" w:rsidRPr="0081375C">
        <w:rPr>
          <w:rFonts w:ascii="Arial" w:eastAsia="Arial" w:hAnsi="Arial" w:cs="Arial"/>
          <w:color w:val="000000" w:themeColor="text1"/>
        </w:rPr>
        <w:t xml:space="preserve">. Esta decisión será tomada por el comité técnico caso por caso teniendo en cuenta la criticidad del riesgo, la disponibilidad presupuestal y </w:t>
      </w:r>
      <w:r w:rsidR="79117E73" w:rsidRPr="0081375C">
        <w:rPr>
          <w:rFonts w:ascii="Arial" w:eastAsia="Arial" w:hAnsi="Arial" w:cs="Arial"/>
          <w:color w:val="000000" w:themeColor="text1"/>
        </w:rPr>
        <w:t>demás</w:t>
      </w:r>
      <w:r w:rsidR="77A0725D" w:rsidRPr="0081375C">
        <w:rPr>
          <w:rFonts w:ascii="Arial" w:eastAsia="Arial" w:hAnsi="Arial" w:cs="Arial"/>
          <w:color w:val="000000" w:themeColor="text1"/>
        </w:rPr>
        <w:t xml:space="preserve"> criterios de eficiencia y uso adecuado del r</w:t>
      </w:r>
      <w:r w:rsidR="4947D7D9" w:rsidRPr="0081375C">
        <w:rPr>
          <w:rFonts w:ascii="Arial" w:eastAsia="Arial" w:hAnsi="Arial" w:cs="Arial"/>
          <w:color w:val="000000" w:themeColor="text1"/>
        </w:rPr>
        <w:t>ecurso público</w:t>
      </w:r>
      <w:r w:rsidR="3E16CFB6" w:rsidRPr="0081375C">
        <w:rPr>
          <w:rFonts w:ascii="Arial" w:eastAsia="Arial" w:hAnsi="Arial" w:cs="Arial"/>
          <w:color w:val="000000" w:themeColor="text1"/>
        </w:rPr>
        <w:t>.</w:t>
      </w:r>
    </w:p>
    <w:p w14:paraId="191A2136" w14:textId="3BA047BE" w:rsidR="729FED67" w:rsidRPr="0081375C" w:rsidRDefault="729FED67" w:rsidP="729FED67">
      <w:pPr>
        <w:spacing w:line="23" w:lineRule="atLeast"/>
        <w:jc w:val="both"/>
        <w:rPr>
          <w:rFonts w:ascii="Arial" w:eastAsia="Arial" w:hAnsi="Arial" w:cs="Arial"/>
          <w:color w:val="000000" w:themeColor="text1"/>
        </w:rPr>
      </w:pPr>
    </w:p>
    <w:p w14:paraId="599BEB61" w14:textId="739DA213"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98" w:name="_Toc232154419"/>
      <w:bookmarkStart w:id="99" w:name="_Toc233304197"/>
      <w:r w:rsidRPr="0081375C">
        <w:rPr>
          <w:color w:val="000000" w:themeColor="text1"/>
          <w:lang w:val="es-CO"/>
        </w:rPr>
        <w:t xml:space="preserve">Procedimiento de </w:t>
      </w:r>
      <w:r w:rsidR="00081EA6" w:rsidRPr="0081375C">
        <w:rPr>
          <w:color w:val="000000" w:themeColor="text1"/>
          <w:lang w:val="es-CO"/>
        </w:rPr>
        <w:t>I</w:t>
      </w:r>
      <w:r w:rsidRPr="0081375C">
        <w:rPr>
          <w:color w:val="000000" w:themeColor="text1"/>
          <w:lang w:val="es-CO"/>
        </w:rPr>
        <w:t xml:space="preserve">ncumplimientos y </w:t>
      </w:r>
      <w:r w:rsidR="00081EA6" w:rsidRPr="0081375C">
        <w:rPr>
          <w:color w:val="000000" w:themeColor="text1"/>
          <w:lang w:val="es-CO"/>
        </w:rPr>
        <w:t>S</w:t>
      </w:r>
      <w:r w:rsidRPr="0081375C">
        <w:rPr>
          <w:color w:val="000000" w:themeColor="text1"/>
          <w:lang w:val="es-CO"/>
        </w:rPr>
        <w:t>anciones</w:t>
      </w:r>
      <w:bookmarkEnd w:id="98"/>
      <w:bookmarkEnd w:id="99"/>
    </w:p>
    <w:p w14:paraId="247C2816" w14:textId="77777777" w:rsidR="00882F6D" w:rsidRPr="0081375C" w:rsidRDefault="00882F6D" w:rsidP="00882F6D">
      <w:pPr>
        <w:rPr>
          <w:rFonts w:ascii="Arial" w:hAnsi="Arial" w:cs="Arial"/>
        </w:rPr>
      </w:pPr>
    </w:p>
    <w:p w14:paraId="7D7661DF" w14:textId="4146A227" w:rsidR="00882F6D" w:rsidRPr="0081375C" w:rsidRDefault="65049D20">
      <w:pPr>
        <w:pStyle w:val="Prrafodelista"/>
        <w:spacing w:line="23" w:lineRule="atLeast"/>
        <w:ind w:left="0"/>
        <w:contextualSpacing w:val="0"/>
        <w:jc w:val="both"/>
        <w:rPr>
          <w:rFonts w:ascii="Arial" w:eastAsia="Arial" w:hAnsi="Arial" w:cs="Arial"/>
          <w:color w:val="000000" w:themeColor="text1"/>
        </w:rPr>
        <w:pPrChange w:id="100" w:author="Usuario invitado" w:date="2026-08-05T22:12:00Z">
          <w:pPr/>
        </w:pPrChange>
      </w:pPr>
      <w:r w:rsidRPr="0081375C">
        <w:rPr>
          <w:rFonts w:ascii="Arial" w:eastAsia="Arial" w:hAnsi="Arial" w:cs="Arial"/>
          <w:color w:val="000000" w:themeColor="text1"/>
        </w:rPr>
        <w:t>El reconocimiento y pago del incentivo económico dentro del esquema de Pago por Servicios Ambientales (PSA) está condicionado al cumplimiento de las obligaciones establecidas en el respectivo Acuerdo de Conservación. En consecuencia, cuando durante las actividades de seguimiento se evidencie el posible incumplimiento de una o varias de dichas obligaciones, se adelantará el procedimiento establecido en la presente Guía Metodológica, el cual será desarrollado mediante el DE-GEAM Protocolo de Seguimiento al Cumplimiento de Acuerdos de Pago por Servicios Ambientales. Dicho protocolo constituye el instrumento técnico para la verificación del cumplimiento de las obligaciones, las actuaciones del equipo técnico y el análisis y evaluación de los casos por parte del Comité Técnico de Evaluación y Seguimiento (CTES).</w:t>
      </w:r>
    </w:p>
    <w:p w14:paraId="0E95AC01" w14:textId="78E3D680" w:rsidR="65049D20" w:rsidRPr="0081375C" w:rsidRDefault="65049D20" w:rsidP="65049D20">
      <w:pPr>
        <w:pStyle w:val="Prrafodelista"/>
        <w:spacing w:line="23" w:lineRule="atLeast"/>
        <w:ind w:left="0"/>
        <w:contextualSpacing w:val="0"/>
        <w:jc w:val="both"/>
        <w:rPr>
          <w:rFonts w:ascii="Arial" w:eastAsia="Arial" w:hAnsi="Arial" w:cs="Arial"/>
          <w:color w:val="000000" w:themeColor="text1"/>
        </w:rPr>
      </w:pPr>
    </w:p>
    <w:p w14:paraId="2ADE529C" w14:textId="77777777"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101" w:name="_Toc233304199"/>
      <w:r w:rsidRPr="0081375C">
        <w:rPr>
          <w:rFonts w:eastAsia="Aptos" w:cs="Arial"/>
          <w:bCs/>
          <w:color w:val="000000" w:themeColor="text1"/>
        </w:rPr>
        <w:t>Procedimiento de Control y Seguimiento (Ruta Sancionatoria)</w:t>
      </w:r>
      <w:bookmarkEnd w:id="101"/>
    </w:p>
    <w:p w14:paraId="6A1376DF" w14:textId="77777777" w:rsidR="00882F6D" w:rsidRPr="0081375C" w:rsidRDefault="00882F6D" w:rsidP="003F6B53">
      <w:pPr>
        <w:spacing w:line="23" w:lineRule="atLeast"/>
        <w:jc w:val="both"/>
        <w:rPr>
          <w:rFonts w:ascii="Arial" w:eastAsia="Arial" w:hAnsi="Arial" w:cs="Arial"/>
          <w:color w:val="000000" w:themeColor="text1"/>
        </w:rPr>
      </w:pPr>
    </w:p>
    <w:p w14:paraId="4D0FD486" w14:textId="296D8852"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proceso se iniciará de oficio tras el informe de monitoreo técnico (visita presencial o reporte satelital).</w:t>
      </w:r>
    </w:p>
    <w:p w14:paraId="0D317793" w14:textId="77777777" w:rsidR="00882F6D" w:rsidRPr="0081375C" w:rsidRDefault="00882F6D" w:rsidP="003F6B53">
      <w:pPr>
        <w:spacing w:line="23" w:lineRule="atLeast"/>
        <w:jc w:val="both"/>
        <w:rPr>
          <w:rFonts w:ascii="Arial" w:eastAsia="Arial" w:hAnsi="Arial" w:cs="Arial"/>
          <w:color w:val="000000" w:themeColor="text1"/>
        </w:rPr>
      </w:pPr>
    </w:p>
    <w:p w14:paraId="3F6955BE" w14:textId="77777777" w:rsidR="00ED0170" w:rsidRPr="0081375C" w:rsidRDefault="65049D20" w:rsidP="00ED0170">
      <w:pPr>
        <w:pStyle w:val="Prrafodelista"/>
        <w:numPr>
          <w:ilvl w:val="0"/>
          <w:numId w:val="6"/>
        </w:numPr>
        <w:spacing w:line="23" w:lineRule="atLeast"/>
        <w:ind w:left="426"/>
        <w:contextualSpacing w:val="0"/>
        <w:jc w:val="both"/>
      </w:pPr>
      <w:r w:rsidRPr="0081375C">
        <w:rPr>
          <w:rFonts w:ascii="Arial" w:eastAsia="Arial" w:hAnsi="Arial" w:cs="Arial"/>
          <w:b/>
          <w:bCs/>
          <w:color w:val="000000" w:themeColor="text1"/>
        </w:rPr>
        <w:t>Hallazgo de Incumplimiento:</w:t>
      </w:r>
      <w:r w:rsidRPr="0081375C">
        <w:rPr>
          <w:rFonts w:ascii="Arial" w:eastAsia="Arial" w:hAnsi="Arial" w:cs="Arial"/>
          <w:color w:val="000000" w:themeColor="text1"/>
        </w:rPr>
        <w:t xml:space="preserve"> El profesional de campo radica un "Informe de Novedades" ante el Comité Técnico de Evaluación y Seguimiento CTES, adjuntando evidencia fotográfica, coordenadas exactas y demás evidencias que sustenten el hallazgo</w:t>
      </w:r>
    </w:p>
    <w:p w14:paraId="4DA0D78E" w14:textId="77777777" w:rsidR="006309F6" w:rsidRPr="0081375C" w:rsidRDefault="65049D20" w:rsidP="00BD60F3">
      <w:pPr>
        <w:pStyle w:val="Prrafodelista"/>
        <w:numPr>
          <w:ilvl w:val="0"/>
          <w:numId w:val="6"/>
        </w:numPr>
        <w:spacing w:line="23" w:lineRule="atLeast"/>
        <w:ind w:left="426"/>
        <w:contextualSpacing w:val="0"/>
        <w:jc w:val="both"/>
        <w:rPr>
          <w:rFonts w:ascii="Arial" w:eastAsia="Aptos" w:hAnsi="Arial" w:cs="Arial"/>
          <w:color w:val="000000" w:themeColor="text1"/>
        </w:rPr>
      </w:pPr>
      <w:r w:rsidRPr="0081375C">
        <w:rPr>
          <w:rFonts w:ascii="Arial" w:eastAsia="Arial" w:hAnsi="Arial" w:cs="Arial"/>
          <w:b/>
          <w:bCs/>
          <w:color w:val="000000" w:themeColor="text1"/>
        </w:rPr>
        <w:t>Inicio del procedimiento:</w:t>
      </w:r>
      <w:r w:rsidRPr="0081375C">
        <w:rPr>
          <w:rFonts w:ascii="Arial" w:eastAsia="Arial" w:hAnsi="Arial" w:cs="Arial"/>
          <w:color w:val="000000" w:themeColor="text1"/>
        </w:rPr>
        <w:t xml:space="preserve"> Recibido el informe, el CTES evaluará la información presentada y, cuando existan elementos suficientes que permitan inferir un posible incumplimiento, dispondrá el inicio del procedimiento y ordenará comunicar dicha situación al participante. La comunicación será proyectada por el componente </w:t>
      </w:r>
      <w:r w:rsidRPr="0081375C">
        <w:rPr>
          <w:rFonts w:ascii="Arial" w:eastAsia="Arial" w:hAnsi="Arial" w:cs="Arial"/>
          <w:color w:val="000000" w:themeColor="text1"/>
        </w:rPr>
        <w:lastRenderedPageBreak/>
        <w:t>jurídico, otorgando un término de cinco (5) días hábiles para presentar las explicaciones, descargos y pruebas que considere pertinentes.</w:t>
      </w:r>
    </w:p>
    <w:p w14:paraId="11749CC6" w14:textId="65E4BD48" w:rsidR="00825D4D" w:rsidRPr="0081375C" w:rsidRDefault="65049D20" w:rsidP="00BD60F3">
      <w:pPr>
        <w:pStyle w:val="Prrafodelista"/>
        <w:numPr>
          <w:ilvl w:val="0"/>
          <w:numId w:val="6"/>
        </w:numPr>
        <w:spacing w:line="23" w:lineRule="atLeast"/>
        <w:ind w:left="426"/>
        <w:contextualSpacing w:val="0"/>
        <w:jc w:val="both"/>
        <w:rPr>
          <w:rFonts w:ascii="Arial" w:eastAsia="Aptos" w:hAnsi="Arial" w:cs="Arial"/>
          <w:color w:val="000000" w:themeColor="text1"/>
        </w:rPr>
      </w:pPr>
      <w:r w:rsidRPr="0081375C">
        <w:rPr>
          <w:rFonts w:ascii="Arial" w:eastAsia="Arial" w:hAnsi="Arial" w:cs="Arial"/>
          <w:b/>
          <w:bCs/>
          <w:color w:val="000000" w:themeColor="text1"/>
        </w:rPr>
        <w:t>Sesión de Evaluación:</w:t>
      </w:r>
      <w:r w:rsidRPr="0081375C">
        <w:rPr>
          <w:rFonts w:ascii="Arial" w:eastAsia="Arial" w:hAnsi="Arial" w:cs="Arial"/>
          <w:color w:val="000000" w:themeColor="text1"/>
        </w:rPr>
        <w:t xml:space="preserve"> El Comité Técnico de Evaluación y Seguimiento CTES delibera sobre los descargos y las pruebas allegadas en un plazo de </w:t>
      </w:r>
      <w:r w:rsidRPr="0081375C">
        <w:rPr>
          <w:rFonts w:ascii="Arial" w:eastAsia="Arial" w:hAnsi="Arial" w:cs="Arial"/>
          <w:b/>
          <w:bCs/>
          <w:color w:val="000000" w:themeColor="text1"/>
        </w:rPr>
        <w:t xml:space="preserve">cinco (5) días hábiles, </w:t>
      </w:r>
      <w:r w:rsidRPr="0081375C">
        <w:rPr>
          <w:rFonts w:ascii="Arial" w:eastAsia="Arial" w:hAnsi="Arial" w:cs="Arial"/>
          <w:color w:val="000000" w:themeColor="text1"/>
        </w:rPr>
        <w:t>con el fin de determinar si existe incumplimiento de las obligaciones del Acuerdo de Conservación y establecer la medida que corresponda recomendar</w:t>
      </w:r>
      <w:r w:rsidR="001B6701" w:rsidRPr="0081375C">
        <w:rPr>
          <w:rFonts w:ascii="Arial" w:eastAsia="Arial" w:hAnsi="Arial" w:cs="Arial"/>
          <w:color w:val="000000" w:themeColor="text1"/>
        </w:rPr>
        <w:t>.</w:t>
      </w:r>
      <w:r w:rsidRPr="0081375C">
        <w:rPr>
          <w:rFonts w:ascii="Arial" w:eastAsia="Arial" w:hAnsi="Arial" w:cs="Arial"/>
          <w:color w:val="000000" w:themeColor="text1"/>
        </w:rPr>
        <w:t xml:space="preserve"> Si el incumplimiento persiste o no es justificado, se procede a la aplicación de la sanción gradual.</w:t>
      </w:r>
    </w:p>
    <w:p w14:paraId="41AF06C3" w14:textId="01948C8A" w:rsidR="00825D4D" w:rsidRPr="0081375C" w:rsidRDefault="65049D20" w:rsidP="00BD60F3">
      <w:pPr>
        <w:pStyle w:val="Prrafodelista"/>
        <w:numPr>
          <w:ilvl w:val="0"/>
          <w:numId w:val="6"/>
        </w:numPr>
        <w:spacing w:line="23" w:lineRule="atLeast"/>
        <w:ind w:left="426"/>
        <w:contextualSpacing w:val="0"/>
        <w:jc w:val="both"/>
        <w:rPr>
          <w:rFonts w:ascii="Arial" w:eastAsia="Aptos" w:hAnsi="Arial" w:cs="Arial"/>
          <w:color w:val="000000" w:themeColor="text1"/>
        </w:rPr>
      </w:pPr>
      <w:r w:rsidRPr="0081375C">
        <w:rPr>
          <w:rFonts w:ascii="Arial" w:eastAsia="Arial" w:hAnsi="Arial" w:cs="Arial"/>
          <w:b/>
          <w:bCs/>
          <w:color w:val="000000" w:themeColor="text1"/>
        </w:rPr>
        <w:t>Decisión y Recurso:</w:t>
      </w:r>
      <w:r w:rsidRPr="0081375C">
        <w:rPr>
          <w:rFonts w:ascii="Arial" w:eastAsia="Arial" w:hAnsi="Arial" w:cs="Arial"/>
          <w:color w:val="000000" w:themeColor="text1"/>
        </w:rPr>
        <w:t xml:space="preserve"> Se emite el Acta de Comité, en la cual se expondrán las razones técnicas, jurídicas, sociales y ambientales que sustentan la recomendación emitida. El beneficiario podrá interponer el </w:t>
      </w:r>
      <w:r w:rsidRPr="0081375C">
        <w:rPr>
          <w:rFonts w:ascii="Arial" w:eastAsia="Arial" w:hAnsi="Arial" w:cs="Arial"/>
          <w:b/>
          <w:bCs/>
          <w:color w:val="000000" w:themeColor="text1"/>
        </w:rPr>
        <w:t>Recurso de Reposición</w:t>
      </w:r>
      <w:r w:rsidRPr="0081375C">
        <w:rPr>
          <w:rFonts w:ascii="Arial" w:eastAsia="Arial" w:hAnsi="Arial" w:cs="Arial"/>
          <w:color w:val="000000" w:themeColor="text1"/>
        </w:rPr>
        <w:t xml:space="preserve"> ante el mismo Comité dentro de los cinco (5) días hábiles siguientes a la notificación.</w:t>
      </w:r>
    </w:p>
    <w:p w14:paraId="480E0AED" w14:textId="77777777" w:rsidR="00882F6D" w:rsidRPr="0081375C" w:rsidRDefault="00882F6D" w:rsidP="00882F6D">
      <w:pPr>
        <w:pStyle w:val="Prrafodelista"/>
        <w:spacing w:line="23" w:lineRule="atLeast"/>
        <w:ind w:left="0"/>
        <w:contextualSpacing w:val="0"/>
        <w:jc w:val="both"/>
        <w:rPr>
          <w:rFonts w:ascii="Arial" w:eastAsia="Aptos" w:hAnsi="Arial" w:cs="Arial"/>
          <w:color w:val="000000" w:themeColor="text1"/>
        </w:rPr>
      </w:pPr>
    </w:p>
    <w:p w14:paraId="793AA44E" w14:textId="702182E3" w:rsidR="00825D4D" w:rsidRPr="0081375C" w:rsidRDefault="00806784" w:rsidP="003F6B53">
      <w:pPr>
        <w:spacing w:line="23" w:lineRule="atLeast"/>
        <w:jc w:val="both"/>
        <w:rPr>
          <w:rFonts w:ascii="Arial" w:eastAsia="Aptos" w:hAnsi="Arial" w:cs="Arial"/>
          <w:b/>
          <w:bCs/>
          <w:color w:val="000000" w:themeColor="text1"/>
          <w:sz w:val="20"/>
          <w:szCs w:val="20"/>
        </w:rPr>
      </w:pPr>
      <w:bookmarkStart w:id="102" w:name="_Toc233040682"/>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344BA9" w:rsidRPr="0081375C">
        <w:rPr>
          <w:rFonts w:ascii="Arial" w:hAnsi="Arial" w:cs="Arial"/>
          <w:b/>
          <w:bCs/>
          <w:noProof/>
          <w:color w:val="000000" w:themeColor="text1"/>
          <w:sz w:val="20"/>
          <w:szCs w:val="20"/>
        </w:rPr>
        <w:t>34</w:t>
      </w:r>
      <w:r w:rsidRPr="0081375C">
        <w:rPr>
          <w:rFonts w:ascii="Arial" w:hAnsi="Arial" w:cs="Arial"/>
          <w:b/>
          <w:bCs/>
          <w:color w:val="000000" w:themeColor="text1"/>
          <w:sz w:val="20"/>
          <w:szCs w:val="20"/>
        </w:rPr>
        <w:fldChar w:fldCharType="end"/>
      </w:r>
      <w:r w:rsidRPr="0081375C">
        <w:rPr>
          <w:rFonts w:ascii="Arial" w:eastAsia="Aptos" w:hAnsi="Arial" w:cs="Arial"/>
          <w:b/>
          <w:bCs/>
          <w:color w:val="000000" w:themeColor="text1"/>
          <w:sz w:val="20"/>
          <w:szCs w:val="20"/>
        </w:rPr>
        <w:t xml:space="preserve"> </w:t>
      </w:r>
      <w:r w:rsidRPr="0081375C">
        <w:rPr>
          <w:rFonts w:ascii="Arial" w:eastAsia="Arial" w:hAnsi="Arial" w:cs="Arial"/>
          <w:b/>
          <w:bCs/>
          <w:color w:val="000000" w:themeColor="text1"/>
          <w:sz w:val="20"/>
          <w:szCs w:val="20"/>
        </w:rPr>
        <w:t>Gradualidad de las Sanciones y Consecuencias</w:t>
      </w:r>
      <w:bookmarkEnd w:id="102"/>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2884"/>
        <w:gridCol w:w="2883"/>
        <w:gridCol w:w="2869"/>
      </w:tblGrid>
      <w:tr w:rsidR="00825D4D" w:rsidRPr="0081375C" w14:paraId="3EC3D612" w14:textId="77777777" w:rsidTr="65049D20">
        <w:trPr>
          <w:trHeight w:val="20"/>
          <w:tblHeader/>
        </w:trPr>
        <w:tc>
          <w:tcPr>
            <w:tcW w:w="28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BE4822"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Instancia</w:t>
            </w:r>
          </w:p>
        </w:tc>
        <w:tc>
          <w:tcPr>
            <w:tcW w:w="28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22DAB"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Acción correctiva</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FEF9D9"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b/>
                <w:bCs/>
                <w:color w:val="000000" w:themeColor="text1"/>
                <w:sz w:val="20"/>
                <w:szCs w:val="20"/>
              </w:rPr>
              <w:t>Efecto económico</w:t>
            </w:r>
          </w:p>
        </w:tc>
      </w:tr>
      <w:tr w:rsidR="00825D4D" w:rsidRPr="0081375C" w14:paraId="67FC1DCC" w14:textId="77777777" w:rsidTr="65049D20">
        <w:trPr>
          <w:trHeight w:val="20"/>
        </w:trPr>
        <w:tc>
          <w:tcPr>
            <w:tcW w:w="28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F83B04"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Primer aviso (llamado de atención escrito)</w:t>
            </w:r>
          </w:p>
        </w:tc>
        <w:tc>
          <w:tcPr>
            <w:tcW w:w="28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CF76C"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El beneficiario dispone de 15 días hábiles para subsanar la falta.</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CC485" w14:textId="437B9A63" w:rsidR="00825D4D" w:rsidRPr="0081375C" w:rsidRDefault="65049D20" w:rsidP="004263F7">
            <w:pPr>
              <w:spacing w:line="23" w:lineRule="atLeast"/>
              <w:mirrorIndents/>
              <w:jc w:val="center"/>
            </w:pPr>
            <w:r w:rsidRPr="0081375C">
              <w:rPr>
                <w:rFonts w:ascii="Arial" w:eastAsia="Arial" w:hAnsi="Arial" w:cs="Arial"/>
                <w:color w:val="000000" w:themeColor="text1"/>
                <w:sz w:val="20"/>
                <w:szCs w:val="20"/>
              </w:rPr>
              <w:t xml:space="preserve"> El reconocimiento del incentivo correspondiente al período queda condicionado al resultado del procedimiento.</w:t>
            </w:r>
          </w:p>
        </w:tc>
      </w:tr>
      <w:tr w:rsidR="00825D4D" w:rsidRPr="0081375C" w14:paraId="609B0008" w14:textId="77777777" w:rsidTr="65049D20">
        <w:trPr>
          <w:trHeight w:val="20"/>
        </w:trPr>
        <w:tc>
          <w:tcPr>
            <w:tcW w:w="28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100223"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Segundo aviso (plan de mejora)</w:t>
            </w:r>
          </w:p>
        </w:tc>
        <w:tc>
          <w:tcPr>
            <w:tcW w:w="28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2EC930"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Firma de un compromiso de restauración con cronograma estricto y plan de trabajo.</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E9136D"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Sin efecto adicional hasta la verificación del cumplimiento.</w:t>
            </w:r>
          </w:p>
        </w:tc>
      </w:tr>
      <w:tr w:rsidR="00825D4D" w:rsidRPr="0081375C" w14:paraId="2D1D24CF" w14:textId="77777777" w:rsidTr="65049D20">
        <w:trPr>
          <w:trHeight w:val="20"/>
        </w:trPr>
        <w:tc>
          <w:tcPr>
            <w:tcW w:w="28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5D1F07" w14:textId="6455220B" w:rsidR="00825D4D" w:rsidRPr="0081375C" w:rsidRDefault="65049D20"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 xml:space="preserve"> Incumplimiento parcial</w:t>
            </w:r>
          </w:p>
        </w:tc>
        <w:tc>
          <w:tcPr>
            <w:tcW w:w="28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7C2D81" w14:textId="6CC2F1EE" w:rsidR="00825D4D" w:rsidRPr="0081375C" w:rsidRDefault="65049D20"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Se aplica después de haberse efectuado el segundo aviso con incumplimiento de cronograma de trabajo, siempre y cuando el área sea recuperable.</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EA7F29" w14:textId="58D693A4" w:rsidR="00825D4D" w:rsidRPr="0081375C" w:rsidRDefault="00806784" w:rsidP="004263F7">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Retención del pago hasta que se adelanten todas las acciones para la recuperación del área con visto bueno del técnico en campo</w:t>
            </w:r>
          </w:p>
        </w:tc>
      </w:tr>
      <w:tr w:rsidR="00825D4D" w:rsidRPr="0081375C" w14:paraId="72F1FB4F" w14:textId="77777777" w:rsidTr="65049D20">
        <w:trPr>
          <w:trHeight w:val="20"/>
        </w:trPr>
        <w:tc>
          <w:tcPr>
            <w:tcW w:w="28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9D5AA"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Terminación y exclusión</w:t>
            </w:r>
          </w:p>
        </w:tc>
        <w:tc>
          <w:tcPr>
            <w:tcW w:w="28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26CB00"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Retiro definitivo del programa por falta grave o reincidencia total.</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469C96" w14:textId="77777777" w:rsidR="00825D4D" w:rsidRPr="0081375C" w:rsidRDefault="00806784" w:rsidP="004263F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Pérdida total del pago del periodo en curso y obligación de restituir el costo de los insumos entregados.</w:t>
            </w:r>
          </w:p>
        </w:tc>
      </w:tr>
    </w:tbl>
    <w:p w14:paraId="255A15F7" w14:textId="77777777" w:rsidR="00882F6D" w:rsidRPr="0081375C" w:rsidRDefault="00882F6D" w:rsidP="003F6B53">
      <w:pPr>
        <w:spacing w:line="23" w:lineRule="atLeast"/>
        <w:jc w:val="both"/>
        <w:rPr>
          <w:rFonts w:ascii="Arial" w:eastAsia="Arial" w:hAnsi="Arial" w:cs="Arial"/>
          <w:color w:val="000000" w:themeColor="text1"/>
        </w:rPr>
      </w:pPr>
    </w:p>
    <w:p w14:paraId="0A42878D" w14:textId="7199C8BC"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w:t>
      </w:r>
      <w:r w:rsidR="000F5A4B" w:rsidRPr="0081375C">
        <w:rPr>
          <w:rFonts w:ascii="Arial" w:eastAsia="Arial" w:hAnsi="Arial" w:cs="Arial"/>
          <w:color w:val="000000" w:themeColor="text1"/>
        </w:rPr>
        <w:t xml:space="preserve">Comité Técnico de Evaluación y Seguimiento </w:t>
      </w:r>
      <w:r w:rsidRPr="0081375C">
        <w:rPr>
          <w:rFonts w:ascii="Arial" w:eastAsia="Arial" w:hAnsi="Arial" w:cs="Arial"/>
          <w:color w:val="000000" w:themeColor="text1"/>
        </w:rPr>
        <w:t>CTES podrá ajustar la sanción aplicable atendiendo a criterios técnicos, sociales y ambientales del caso concreto, modulando la gradualidad cuando el contexto del predio o del participante así lo justifique. La decisión de ajuste y las razones que la motivan deben quedar expresamente consignadas en el Acta de Comité correspondiente.</w:t>
      </w:r>
    </w:p>
    <w:p w14:paraId="5E69F0D6" w14:textId="77777777" w:rsidR="00882F6D" w:rsidRPr="0081375C" w:rsidRDefault="00882F6D" w:rsidP="003F6B53">
      <w:pPr>
        <w:spacing w:line="23" w:lineRule="atLeast"/>
        <w:jc w:val="both"/>
        <w:rPr>
          <w:rFonts w:ascii="Arial" w:eastAsia="Aptos" w:hAnsi="Arial" w:cs="Arial"/>
          <w:color w:val="000000" w:themeColor="text1"/>
        </w:rPr>
      </w:pPr>
    </w:p>
    <w:p w14:paraId="5EF37D2A" w14:textId="73620C22" w:rsidR="00825D4D" w:rsidRPr="0081375C" w:rsidRDefault="65049D20"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 xml:space="preserve">La retención del pago derivada de cualquier instancia sancionatoria se comunica para que opere como condición negativa sobre el reconocimiento del incentivo del periodo correspondiente. Cuando una </w:t>
      </w:r>
      <w:proofErr w:type="gramStart"/>
      <w:r w:rsidRPr="0081375C">
        <w:rPr>
          <w:rFonts w:ascii="Arial" w:eastAsia="Arial" w:hAnsi="Arial" w:cs="Arial"/>
          <w:color w:val="000000" w:themeColor="text1"/>
        </w:rPr>
        <w:t>alerta  jurídica</w:t>
      </w:r>
      <w:proofErr w:type="gramEnd"/>
      <w:r w:rsidRPr="0081375C">
        <w:rPr>
          <w:rFonts w:ascii="Arial" w:eastAsia="Arial" w:hAnsi="Arial" w:cs="Arial"/>
          <w:color w:val="000000" w:themeColor="text1"/>
        </w:rPr>
        <w:t xml:space="preserve"> es subsanable mediante ajuste del acuerdo (por ejemplo, cambio de titular en una sucesión gestionada oportunamente), el Comité Técnico de Evaluación y Seguimiento CTES coordina la modificación del Acuerdo de Pago y, una vez formalizado el cambio, levanta la alerta sin necesidad de avanzar la ruta sancionatoria.</w:t>
      </w:r>
    </w:p>
    <w:p w14:paraId="1034CC74" w14:textId="77777777" w:rsidR="00882F6D" w:rsidRPr="0081375C" w:rsidRDefault="00882F6D" w:rsidP="003F6B53">
      <w:pPr>
        <w:spacing w:line="23" w:lineRule="atLeast"/>
        <w:jc w:val="both"/>
        <w:rPr>
          <w:rFonts w:ascii="Arial" w:eastAsia="Aptos" w:hAnsi="Arial" w:cs="Arial"/>
          <w:color w:val="000000" w:themeColor="text1"/>
        </w:rPr>
      </w:pPr>
    </w:p>
    <w:p w14:paraId="3E15AD91" w14:textId="460CD0D1"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103" w:name="_Toc233304200"/>
      <w:r w:rsidRPr="0081375C">
        <w:rPr>
          <w:rFonts w:eastAsia="Aptos" w:cs="Arial"/>
          <w:bCs/>
          <w:color w:val="000000" w:themeColor="text1"/>
        </w:rPr>
        <w:t xml:space="preserve">Restitución de </w:t>
      </w:r>
      <w:r w:rsidR="002E4BE1" w:rsidRPr="0081375C">
        <w:rPr>
          <w:rFonts w:eastAsia="Aptos" w:cs="Arial"/>
          <w:bCs/>
          <w:color w:val="000000" w:themeColor="text1"/>
        </w:rPr>
        <w:t>V</w:t>
      </w:r>
      <w:r w:rsidRPr="0081375C">
        <w:rPr>
          <w:rFonts w:eastAsia="Aptos" w:cs="Arial"/>
          <w:bCs/>
          <w:color w:val="000000" w:themeColor="text1"/>
        </w:rPr>
        <w:t xml:space="preserve">alores y </w:t>
      </w:r>
      <w:r w:rsidR="002E4BE1" w:rsidRPr="0081375C">
        <w:rPr>
          <w:rFonts w:eastAsia="Aptos" w:cs="Arial"/>
          <w:bCs/>
          <w:color w:val="000000" w:themeColor="text1"/>
        </w:rPr>
        <w:t>R</w:t>
      </w:r>
      <w:r w:rsidRPr="0081375C">
        <w:rPr>
          <w:rFonts w:eastAsia="Aptos" w:cs="Arial"/>
          <w:bCs/>
          <w:color w:val="000000" w:themeColor="text1"/>
        </w:rPr>
        <w:t>esponsabilidad civil</w:t>
      </w:r>
      <w:bookmarkEnd w:id="103"/>
    </w:p>
    <w:p w14:paraId="42C126DD" w14:textId="77777777" w:rsidR="00882F6D" w:rsidRPr="0081375C" w:rsidRDefault="00882F6D" w:rsidP="00882F6D">
      <w:pPr>
        <w:rPr>
          <w:rFonts w:ascii="Arial" w:hAnsi="Arial" w:cs="Arial"/>
        </w:rPr>
      </w:pPr>
    </w:p>
    <w:p w14:paraId="6BD64D94"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Cuando el incumplimiento grave implica dolo comprobado, el Distrito de Medellín se reserva el derecho de exigir la devolución de los insumos entregados (estacones, alambre, plántulas) o su equivalente en dinero, de iniciar acciones civiles por incumplimiento contractual, y de compulsar copias a la autoridad ambiental competente (Corantioquia o AMVA) para el inicio del proceso sancionatorio ambiental bajo la Ley 1333 de 2009. Todas estas medidas deben quedar expresamente consignadas en el acuerdo de PSA conforme al formato establecido.</w:t>
      </w:r>
    </w:p>
    <w:p w14:paraId="6F847958" w14:textId="77777777" w:rsidR="007C4828" w:rsidRPr="0081375C" w:rsidRDefault="007C4828" w:rsidP="003F6B53">
      <w:pPr>
        <w:spacing w:line="23" w:lineRule="atLeast"/>
        <w:jc w:val="both"/>
        <w:rPr>
          <w:rFonts w:ascii="Arial" w:eastAsia="Aptos" w:hAnsi="Arial" w:cs="Arial"/>
          <w:color w:val="000000" w:themeColor="text1"/>
        </w:rPr>
      </w:pPr>
    </w:p>
    <w:p w14:paraId="039AB717" w14:textId="2CBBB0F3" w:rsidR="00825D4D" w:rsidRPr="0081375C" w:rsidRDefault="00806784" w:rsidP="0070084E">
      <w:pPr>
        <w:pStyle w:val="Ttulo4"/>
        <w:numPr>
          <w:ilvl w:val="3"/>
          <w:numId w:val="27"/>
        </w:numPr>
        <w:spacing w:before="0" w:after="0" w:line="23" w:lineRule="atLeast"/>
        <w:rPr>
          <w:rFonts w:eastAsia="Aptos" w:cs="Arial"/>
          <w:bCs/>
          <w:color w:val="000000" w:themeColor="text1"/>
        </w:rPr>
      </w:pPr>
      <w:bookmarkStart w:id="104" w:name="_Toc233304201"/>
      <w:r w:rsidRPr="0081375C">
        <w:rPr>
          <w:rFonts w:eastAsia="Aptos" w:cs="Arial"/>
          <w:bCs/>
          <w:color w:val="000000" w:themeColor="text1"/>
        </w:rPr>
        <w:t xml:space="preserve">Inhabilidades </w:t>
      </w:r>
      <w:r w:rsidR="002E4BE1" w:rsidRPr="0081375C">
        <w:rPr>
          <w:rFonts w:eastAsia="Aptos" w:cs="Arial"/>
          <w:bCs/>
          <w:color w:val="000000" w:themeColor="text1"/>
        </w:rPr>
        <w:t>P</w:t>
      </w:r>
      <w:r w:rsidRPr="0081375C">
        <w:rPr>
          <w:rFonts w:eastAsia="Aptos" w:cs="Arial"/>
          <w:bCs/>
          <w:color w:val="000000" w:themeColor="text1"/>
        </w:rPr>
        <w:t>osteriores</w:t>
      </w:r>
      <w:bookmarkEnd w:id="104"/>
    </w:p>
    <w:p w14:paraId="041DD58C" w14:textId="77777777" w:rsidR="007C4828" w:rsidRPr="0081375C" w:rsidRDefault="007C4828" w:rsidP="007C4828">
      <w:pPr>
        <w:rPr>
          <w:rFonts w:ascii="Arial" w:hAnsi="Arial" w:cs="Arial"/>
        </w:rPr>
      </w:pPr>
    </w:p>
    <w:p w14:paraId="6C6A798E" w14:textId="2BBE2E0A"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t>El beneficiario cuyo acuerdo sea terminado por incumplimiento grave quedará inhabilitado para postularse nuevamente a cualquier convocatoria de PSA o incentivo ambiental del Distrito de Medellín por un término de un (1) año, contados desde la firmeza del Acta de Terminación</w:t>
      </w:r>
      <w:r w:rsidR="7DEC2173" w:rsidRPr="0081375C">
        <w:rPr>
          <w:rFonts w:ascii="Arial" w:eastAsia="Arial" w:hAnsi="Arial" w:cs="Arial"/>
          <w:color w:val="000000" w:themeColor="text1"/>
        </w:rPr>
        <w:t>.</w:t>
      </w:r>
    </w:p>
    <w:p w14:paraId="3AF94D5E" w14:textId="77777777" w:rsidR="007C4828" w:rsidRPr="0081375C" w:rsidRDefault="007C4828" w:rsidP="003F6B53">
      <w:pPr>
        <w:spacing w:line="23" w:lineRule="atLeast"/>
        <w:jc w:val="both"/>
        <w:rPr>
          <w:rFonts w:ascii="Arial" w:eastAsia="Aptos" w:hAnsi="Arial" w:cs="Arial"/>
          <w:color w:val="000000" w:themeColor="text1"/>
        </w:rPr>
      </w:pPr>
    </w:p>
    <w:p w14:paraId="2EB6E5AB" w14:textId="06576C87"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105" w:name="_Toc232154420"/>
      <w:bookmarkStart w:id="106" w:name="_Toc233304203"/>
      <w:r w:rsidRPr="0081375C">
        <w:rPr>
          <w:color w:val="000000" w:themeColor="text1"/>
          <w:lang w:val="es-CO"/>
        </w:rPr>
        <w:t xml:space="preserve">Informe de </w:t>
      </w:r>
      <w:r w:rsidR="002E4BE1" w:rsidRPr="0081375C">
        <w:rPr>
          <w:color w:val="000000" w:themeColor="text1"/>
          <w:lang w:val="es-CO"/>
        </w:rPr>
        <w:t>S</w:t>
      </w:r>
      <w:r w:rsidRPr="0081375C">
        <w:rPr>
          <w:color w:val="000000" w:themeColor="text1"/>
          <w:lang w:val="es-CO"/>
        </w:rPr>
        <w:t xml:space="preserve">eguimiento </w:t>
      </w:r>
      <w:r w:rsidR="002E4BE1" w:rsidRPr="0081375C">
        <w:rPr>
          <w:color w:val="000000" w:themeColor="text1"/>
          <w:lang w:val="es-CO"/>
        </w:rPr>
        <w:t>T</w:t>
      </w:r>
      <w:r w:rsidRPr="0081375C">
        <w:rPr>
          <w:color w:val="000000" w:themeColor="text1"/>
          <w:lang w:val="es-CO"/>
        </w:rPr>
        <w:t>rimestral</w:t>
      </w:r>
      <w:bookmarkEnd w:id="105"/>
      <w:bookmarkEnd w:id="106"/>
    </w:p>
    <w:p w14:paraId="428A7DE4" w14:textId="77777777" w:rsidR="007C4828" w:rsidRPr="0081375C" w:rsidRDefault="007C4828" w:rsidP="007C4828">
      <w:pPr>
        <w:rPr>
          <w:rFonts w:ascii="Arial" w:hAnsi="Arial" w:cs="Arial"/>
        </w:rPr>
      </w:pPr>
    </w:p>
    <w:p w14:paraId="3A5FB87C" w14:textId="18C3EAA8"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informe consolidado por predio integra en un único documento todos los resultados del ciclo de seguimiento: el concepto jurídico, el IVS, los informes de monitoreo ecosistémico de cuando corresponden según periodicidad, el informe de buenas prácticas productivas de cuando aplica, y la decisión sobre el aval del desembolso. El documento de referencia es el </w:t>
      </w:r>
      <w:r w:rsidR="007C4828" w:rsidRPr="0081375C">
        <w:rPr>
          <w:rFonts w:ascii="Arial" w:eastAsia="Arial" w:hAnsi="Arial" w:cs="Arial"/>
          <w:color w:val="000000" w:themeColor="text1"/>
        </w:rPr>
        <w:t>formato de</w:t>
      </w:r>
      <w:r w:rsidRPr="0081375C">
        <w:rPr>
          <w:rFonts w:ascii="Arial" w:eastAsia="Arial" w:hAnsi="Arial" w:cs="Arial"/>
          <w:color w:val="000000" w:themeColor="text1"/>
        </w:rPr>
        <w:t xml:space="preserve"> Informe de Seguimiento del Pago por Servicios Ambientales PSA</w:t>
      </w:r>
      <w:r w:rsidR="6581F220" w:rsidRPr="0081375C">
        <w:rPr>
          <w:rFonts w:ascii="Arial" w:eastAsia="Arial" w:hAnsi="Arial" w:cs="Arial"/>
          <w:color w:val="000000" w:themeColor="text1"/>
        </w:rPr>
        <w:t>.</w:t>
      </w:r>
    </w:p>
    <w:p w14:paraId="5A3E77BE" w14:textId="77777777" w:rsidR="007C4828" w:rsidRPr="0081375C" w:rsidRDefault="007C4828" w:rsidP="003F6B53">
      <w:pPr>
        <w:spacing w:line="23" w:lineRule="atLeast"/>
        <w:jc w:val="both"/>
        <w:rPr>
          <w:rFonts w:ascii="Arial" w:eastAsia="Aptos" w:hAnsi="Arial" w:cs="Arial"/>
          <w:color w:val="000000" w:themeColor="text1"/>
        </w:rPr>
      </w:pPr>
    </w:p>
    <w:p w14:paraId="6680348F"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informe se estructura de la siguiente forma. El encabezado consigna el número de contrato y año de vigencia, el trimestre y la fecha de visita. La sección de información del participante incluye nombre completo, tipo y número de documento, teléfono y correo. La sección de información del predio consigna corregimiento, vereda, cuenca hidrográfica y cuenca abastecedora, CBML, georreferenciación, matrícula inmobiliaria, área total del predio, área elegible, área en conservación y área total PSAH, fecha de firma del acuerdo y plazo. La sección de plan de pagos y desembolsos presenta una tabla con número de desembolso, contrato y periodo, valor, fecha de visita de seguimiento y fecha de pago efectivo, más los totales del incentivo. </w:t>
      </w:r>
    </w:p>
    <w:p w14:paraId="60B8811F" w14:textId="77777777" w:rsidR="007C4828" w:rsidRPr="0081375C" w:rsidRDefault="007C4828" w:rsidP="003F6B53">
      <w:pPr>
        <w:spacing w:line="23" w:lineRule="atLeast"/>
        <w:jc w:val="both"/>
        <w:rPr>
          <w:rFonts w:ascii="Arial" w:eastAsia="Arial" w:hAnsi="Arial" w:cs="Arial"/>
          <w:color w:val="000000" w:themeColor="text1"/>
        </w:rPr>
      </w:pPr>
    </w:p>
    <w:p w14:paraId="7DD62C47" w14:textId="77777777" w:rsidR="00825D4D" w:rsidRPr="0081375C" w:rsidRDefault="00806784"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lastRenderedPageBreak/>
        <w:t xml:space="preserve">La sección de seguimiento y verificación presenta la imagen del recorrido con puntos de verificación georreferenciados, la descripción del área elegible en conservación o restauración con las coberturas identificadas, la tabla de cumplimiento de obligaciones con hasta diecisiete ítems (cada uno con la obligación o compromiso, los puntos de verificación con número y coordenadas, la descripción del cumplimiento o incumplimiento observado en campo y el registro fotográfico numerado), y la verificación de parcelas con su estado al momento de la visita. La sección de recomendaciones generales consigna las acciones que el participante debe desarrollar para el siguiente periodo y las observaciones sobre </w:t>
      </w:r>
      <w:proofErr w:type="spellStart"/>
      <w:r w:rsidRPr="0081375C">
        <w:rPr>
          <w:rFonts w:ascii="Arial" w:eastAsia="Arial" w:hAnsi="Arial" w:cs="Arial"/>
          <w:color w:val="000000" w:themeColor="text1"/>
        </w:rPr>
        <w:t>tensionantes</w:t>
      </w:r>
      <w:proofErr w:type="spellEnd"/>
      <w:r w:rsidRPr="0081375C">
        <w:rPr>
          <w:rFonts w:ascii="Arial" w:eastAsia="Arial" w:hAnsi="Arial" w:cs="Arial"/>
          <w:color w:val="000000" w:themeColor="text1"/>
        </w:rPr>
        <w:t xml:space="preserve"> identificados. La sección de aval del desembolso consigna el número de desembolso que se avala, el trimestre y año, el valor del incentivo a reconocer y la verificación del pago del impuesto predial. El informe lleva firmas del tecnólogo de campo y el profesional de seguimiento, y revisión del Profesional SIG, el Profesional Administrativo y Financiero y el Coordinador.</w:t>
      </w:r>
    </w:p>
    <w:p w14:paraId="1C6DAB29" w14:textId="77777777" w:rsidR="00825D4D" w:rsidRPr="0081375C" w:rsidRDefault="00825D4D" w:rsidP="003F6B53">
      <w:pPr>
        <w:spacing w:line="23" w:lineRule="atLeast"/>
        <w:jc w:val="both"/>
        <w:rPr>
          <w:rFonts w:ascii="Arial" w:eastAsia="Aptos" w:hAnsi="Arial" w:cs="Arial"/>
          <w:color w:val="000000" w:themeColor="text1"/>
        </w:rPr>
      </w:pPr>
    </w:p>
    <w:p w14:paraId="204310CD" w14:textId="7731DC6F"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Una vez integrados todos los insumos disponibles, el informe se envía a la supervisión para aprobación. Aprobado, se socializa con el participante, de forma virtual o presencial, antes del cierre del día hábil 13 del ciclo mensual, destacando los principales resultados del ciclo, el aval o la negación del desembolso y las recomendaciones para el siguiente periodo. El participante firma el </w:t>
      </w:r>
      <w:r w:rsidR="00937622" w:rsidRPr="0081375C">
        <w:rPr>
          <w:rFonts w:ascii="Arial" w:eastAsia="Arial" w:hAnsi="Arial" w:cs="Arial"/>
          <w:b/>
          <w:bCs/>
          <w:i/>
          <w:iCs/>
          <w:color w:val="000000" w:themeColor="text1"/>
        </w:rPr>
        <w:t>FO-GEAM Respuesta de Resultados Visita Técnica de Seguimiento PSA</w:t>
      </w:r>
      <w:r w:rsidR="00937622" w:rsidRPr="0081375C">
        <w:rPr>
          <w:rFonts w:ascii="Arial" w:eastAsia="Arial" w:hAnsi="Arial" w:cs="Arial"/>
          <w:color w:val="000000" w:themeColor="text1"/>
        </w:rPr>
        <w:t xml:space="preserve"> </w:t>
      </w:r>
      <w:r w:rsidRPr="0081375C">
        <w:rPr>
          <w:rFonts w:ascii="Arial" w:eastAsia="Arial" w:hAnsi="Arial" w:cs="Arial"/>
          <w:color w:val="000000" w:themeColor="text1"/>
        </w:rPr>
        <w:t>como constancia de socialización. El informe aprobado y firmado se archiva en el expediente del predio antes del cierre del día hábil 13; este archivo es la condición de entrada para la gestión del pago en los días hábiles 14 a 20 del ciclo.</w:t>
      </w:r>
    </w:p>
    <w:p w14:paraId="7590275E" w14:textId="77777777" w:rsidR="007C4828" w:rsidRPr="0081375C" w:rsidRDefault="007C4828" w:rsidP="003F6B53">
      <w:pPr>
        <w:spacing w:line="23" w:lineRule="atLeast"/>
        <w:jc w:val="both"/>
        <w:rPr>
          <w:rFonts w:ascii="Arial" w:eastAsia="Aptos" w:hAnsi="Arial" w:cs="Arial"/>
          <w:color w:val="000000" w:themeColor="text1"/>
        </w:rPr>
      </w:pPr>
    </w:p>
    <w:p w14:paraId="3430E0DD" w14:textId="63F2C7F1" w:rsidR="00825D4D" w:rsidRPr="0081375C" w:rsidRDefault="00806784" w:rsidP="003F6B53">
      <w:pPr>
        <w:spacing w:line="23" w:lineRule="atLeast"/>
        <w:jc w:val="both"/>
        <w:rPr>
          <w:rFonts w:ascii="Arial" w:eastAsia="Aptos" w:hAnsi="Arial" w:cs="Arial"/>
          <w:b/>
          <w:bCs/>
          <w:color w:val="000000" w:themeColor="text1"/>
          <w:sz w:val="20"/>
          <w:szCs w:val="20"/>
        </w:rPr>
      </w:pPr>
      <w:bookmarkStart w:id="107" w:name="_Toc233040683"/>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36</w:t>
      </w:r>
      <w:r w:rsidRPr="0081375C">
        <w:rPr>
          <w:rFonts w:ascii="Arial" w:hAnsi="Arial" w:cs="Arial"/>
          <w:b/>
          <w:bCs/>
          <w:color w:val="000000" w:themeColor="text1"/>
          <w:sz w:val="20"/>
          <w:szCs w:val="20"/>
        </w:rPr>
        <w:fldChar w:fldCharType="end"/>
      </w:r>
      <w:r w:rsidRPr="0081375C">
        <w:rPr>
          <w:rFonts w:ascii="Arial" w:eastAsia="Aptos" w:hAnsi="Arial" w:cs="Arial"/>
          <w:b/>
          <w:bCs/>
          <w:color w:val="000000" w:themeColor="text1"/>
          <w:sz w:val="20"/>
          <w:szCs w:val="20"/>
        </w:rPr>
        <w:t xml:space="preserve"> </w:t>
      </w:r>
      <w:r w:rsidRPr="0081375C">
        <w:rPr>
          <w:rFonts w:ascii="Arial" w:eastAsia="Arial" w:hAnsi="Arial" w:cs="Arial"/>
          <w:b/>
          <w:bCs/>
          <w:color w:val="000000" w:themeColor="text1"/>
          <w:sz w:val="20"/>
          <w:szCs w:val="20"/>
        </w:rPr>
        <w:t>Cronograma informes de seguimientos</w:t>
      </w:r>
      <w:bookmarkEnd w:id="107"/>
    </w:p>
    <w:tbl>
      <w:tblPr>
        <w:tblW w:w="8636" w:type="dxa"/>
        <w:tblLayout w:type="fixed"/>
        <w:tblCellMar>
          <w:top w:w="100" w:type="dxa"/>
          <w:left w:w="100" w:type="dxa"/>
          <w:bottom w:w="100" w:type="dxa"/>
          <w:right w:w="100" w:type="dxa"/>
        </w:tblCellMar>
        <w:tblLook w:val="0600" w:firstRow="0" w:lastRow="0" w:firstColumn="0" w:lastColumn="0" w:noHBand="1" w:noVBand="1"/>
      </w:tblPr>
      <w:tblGrid>
        <w:gridCol w:w="4318"/>
        <w:gridCol w:w="4318"/>
      </w:tblGrid>
      <w:tr w:rsidR="00825D4D" w:rsidRPr="0081375C" w14:paraId="09EDA3DF" w14:textId="77777777" w:rsidTr="002E4BE1">
        <w:trPr>
          <w:trHeight w:val="20"/>
        </w:trPr>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F4923"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15AF29"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Plazo relativo al cierre contable</w:t>
            </w:r>
          </w:p>
        </w:tc>
      </w:tr>
      <w:tr w:rsidR="00825D4D" w:rsidRPr="0081375C" w14:paraId="1C0A2F3C" w14:textId="77777777" w:rsidTr="00F32005">
        <w:trPr>
          <w:trHeight w:val="65"/>
        </w:trPr>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B44BBE" w14:textId="5F96770E" w:rsidR="00825D4D" w:rsidRPr="0081375C" w:rsidRDefault="00806784">
            <w:pPr>
              <w:spacing w:line="23" w:lineRule="atLeast"/>
              <w:jc w:val="center"/>
              <w:rPr>
                <w:rFonts w:ascii="Arial" w:eastAsia="Arial" w:hAnsi="Arial" w:cs="Arial"/>
                <w:sz w:val="20"/>
                <w:szCs w:val="20"/>
              </w:rPr>
            </w:pPr>
            <w:r w:rsidRPr="0081375C">
              <w:rPr>
                <w:rFonts w:ascii="Arial" w:eastAsia="Arial" w:hAnsi="Arial" w:cs="Arial"/>
                <w:color w:val="000000" w:themeColor="text1"/>
                <w:sz w:val="20"/>
                <w:szCs w:val="20"/>
              </w:rPr>
              <w:t xml:space="preserve">Consolidación de insumos e integración en FO-GEAM </w:t>
            </w:r>
            <w:r w:rsidR="00C241FC" w:rsidRPr="0081375C">
              <w:rPr>
                <w:rFonts w:ascii="Arial" w:eastAsia="Arial" w:hAnsi="Arial" w:cs="Arial"/>
                <w:color w:val="000000" w:themeColor="text1"/>
                <w:sz w:val="20"/>
                <w:szCs w:val="20"/>
              </w:rPr>
              <w:t>I</w:t>
            </w:r>
            <w:r w:rsidR="00AB63AB" w:rsidRPr="0081375C">
              <w:rPr>
                <w:rFonts w:ascii="Arial" w:eastAsia="Arial" w:hAnsi="Arial" w:cs="Arial"/>
                <w:color w:val="000000" w:themeColor="text1"/>
                <w:sz w:val="20"/>
                <w:szCs w:val="20"/>
              </w:rPr>
              <w:t xml:space="preserve">nforme </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CABEE5"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Días hábiles 1–13 del ciclo, en paralelo con la disponibilidad progresiva de insumos</w:t>
            </w:r>
          </w:p>
        </w:tc>
      </w:tr>
      <w:tr w:rsidR="00825D4D" w:rsidRPr="0081375C" w14:paraId="531EEBE4" w14:textId="77777777" w:rsidTr="002E4BE1">
        <w:trPr>
          <w:trHeight w:val="20"/>
        </w:trPr>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C2D4AE"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Aprobación de la supervisión</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606C7"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Hasta el cierre del día hábil 13</w:t>
            </w:r>
          </w:p>
        </w:tc>
      </w:tr>
      <w:tr w:rsidR="00825D4D" w:rsidRPr="0081375C" w14:paraId="7FDE4E51" w14:textId="77777777" w:rsidTr="002E4BE1">
        <w:trPr>
          <w:trHeight w:val="20"/>
        </w:trPr>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4C5D5F"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Socialización con el participante y firma del FO-GEAM Respuesta</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6F3A8"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 hábil 13, antes del cierre</w:t>
            </w:r>
          </w:p>
        </w:tc>
      </w:tr>
      <w:tr w:rsidR="00825D4D" w:rsidRPr="0081375C" w14:paraId="38F1DA2C" w14:textId="77777777" w:rsidTr="002E4BE1">
        <w:trPr>
          <w:trHeight w:val="20"/>
        </w:trPr>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F74E9"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Archivo del informe aprobado y firmado en el expediente del predio</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4CF4E"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Cierre del día hábil 13</w:t>
            </w:r>
          </w:p>
        </w:tc>
      </w:tr>
      <w:tr w:rsidR="00825D4D" w:rsidRPr="0081375C" w14:paraId="532553F3" w14:textId="77777777" w:rsidTr="002E4BE1">
        <w:trPr>
          <w:trHeight w:val="20"/>
        </w:trPr>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F102CB" w14:textId="0BBEC171" w:rsidR="00825D4D" w:rsidRPr="0081375C" w:rsidRDefault="53ABCE9C" w:rsidP="729FED6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Gestión del pago</w:t>
            </w:r>
            <w:r w:rsidR="4B5FE2E3" w:rsidRPr="0081375C">
              <w:rPr>
                <w:rFonts w:ascii="Arial" w:eastAsia="Arial" w:hAnsi="Arial" w:cs="Arial"/>
                <w:color w:val="000000" w:themeColor="text1"/>
                <w:sz w:val="20"/>
                <w:szCs w:val="20"/>
              </w:rPr>
              <w:t xml:space="preserve">: Identificación de predios del bloque y aprobación de desembolso </w:t>
            </w:r>
          </w:p>
          <w:p w14:paraId="50681ACD" w14:textId="3464A64D" w:rsidR="00825D4D" w:rsidRPr="0081375C" w:rsidRDefault="4B5FE2E3" w:rsidP="729FED67">
            <w:pPr>
              <w:spacing w:line="23" w:lineRule="atLeast"/>
              <w:mirrorIndents/>
              <w:jc w:val="center"/>
            </w:pPr>
            <w:r w:rsidRPr="0081375C">
              <w:rPr>
                <w:rFonts w:ascii="Arial" w:eastAsia="Arial" w:hAnsi="Arial" w:cs="Arial"/>
                <w:color w:val="000000" w:themeColor="text1"/>
                <w:sz w:val="20"/>
                <w:szCs w:val="20"/>
              </w:rPr>
              <w:t xml:space="preserve">Verificación de los cuatro requisitos </w:t>
            </w:r>
          </w:p>
          <w:p w14:paraId="6D739333" w14:textId="032CC6FF" w:rsidR="00825D4D" w:rsidRPr="0081375C" w:rsidRDefault="4B5FE2E3" w:rsidP="729FED67">
            <w:pPr>
              <w:spacing w:line="23" w:lineRule="atLeast"/>
              <w:mirrorIndents/>
              <w:jc w:val="center"/>
            </w:pPr>
            <w:r w:rsidRPr="0081375C">
              <w:rPr>
                <w:rFonts w:ascii="Arial" w:eastAsia="Arial" w:hAnsi="Arial" w:cs="Arial"/>
                <w:color w:val="000000" w:themeColor="text1"/>
                <w:sz w:val="20"/>
                <w:szCs w:val="20"/>
              </w:rPr>
              <w:t xml:space="preserve">Remisión de habilitados al área encargada del pago </w:t>
            </w:r>
          </w:p>
          <w:p w14:paraId="314BA6F9" w14:textId="55489DDC" w:rsidR="00825D4D" w:rsidRPr="0081375C" w:rsidRDefault="4B5FE2E3" w:rsidP="002E4BE1">
            <w:pPr>
              <w:spacing w:line="23" w:lineRule="atLeast"/>
              <w:mirrorIndents/>
              <w:jc w:val="center"/>
            </w:pPr>
            <w:r w:rsidRPr="0081375C">
              <w:rPr>
                <w:rFonts w:ascii="Arial" w:eastAsia="Arial" w:hAnsi="Arial" w:cs="Arial"/>
                <w:color w:val="000000" w:themeColor="text1"/>
                <w:sz w:val="20"/>
                <w:szCs w:val="20"/>
              </w:rPr>
              <w:t>Documentación de bloqueos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5161E5"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Días hábiles 14–20 (2.8)</w:t>
            </w:r>
          </w:p>
        </w:tc>
      </w:tr>
    </w:tbl>
    <w:p w14:paraId="724C292F" w14:textId="77777777" w:rsidR="007C4828" w:rsidRPr="0081375C" w:rsidRDefault="007C4828" w:rsidP="003F6B53">
      <w:pPr>
        <w:spacing w:line="23" w:lineRule="atLeast"/>
        <w:jc w:val="both"/>
        <w:rPr>
          <w:rFonts w:ascii="Arial" w:eastAsia="Arial" w:hAnsi="Arial" w:cs="Arial"/>
          <w:color w:val="000000" w:themeColor="text1"/>
        </w:rPr>
      </w:pPr>
    </w:p>
    <w:p w14:paraId="10424876" w14:textId="3D0F5DFC"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Cuando el concepto jurídico registra una alerta de Grupo 1 sin resolver, el aval del desembolso queda retenido y el informe documenta la retención; no se avanza. Cuando el IVS registra incumplimiento grave o reiterado, el aval se niega y, si no estaba activo, se traslada el caso. Cuando el resultado del monitoreo espacial de coberturas es desfavorable, se refleja en las recomendaciones y en el aval, y se activan las medidas de manejo correspondientes.</w:t>
      </w:r>
    </w:p>
    <w:p w14:paraId="7AB95E09" w14:textId="77777777" w:rsidR="007C4828" w:rsidRPr="0081375C" w:rsidRDefault="007C4828" w:rsidP="003F6B53">
      <w:pPr>
        <w:spacing w:line="23" w:lineRule="atLeast"/>
        <w:jc w:val="both"/>
        <w:rPr>
          <w:rFonts w:ascii="Arial" w:eastAsia="Aptos" w:hAnsi="Arial" w:cs="Arial"/>
          <w:color w:val="000000" w:themeColor="text1"/>
        </w:rPr>
      </w:pPr>
    </w:p>
    <w:p w14:paraId="41C5197C" w14:textId="0EE1A98D"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w:t>
      </w:r>
      <w:r w:rsidR="007C4828" w:rsidRPr="0081375C">
        <w:rPr>
          <w:rFonts w:ascii="Arial" w:eastAsia="Arial" w:hAnsi="Arial" w:cs="Arial"/>
          <w:color w:val="000000" w:themeColor="text1"/>
        </w:rPr>
        <w:t>formato</w:t>
      </w:r>
      <w:r w:rsidRPr="0081375C">
        <w:rPr>
          <w:rFonts w:ascii="Arial" w:eastAsia="Arial" w:hAnsi="Arial" w:cs="Arial"/>
          <w:color w:val="000000" w:themeColor="text1"/>
        </w:rPr>
        <w:t xml:space="preserve"> aprobado con aval favorable, concurrente con el concepto jurídico </w:t>
      </w:r>
      <w:r w:rsidR="00A56D0A" w:rsidRPr="0081375C">
        <w:rPr>
          <w:rFonts w:ascii="Arial" w:eastAsia="Arial" w:hAnsi="Arial" w:cs="Arial"/>
          <w:color w:val="000000" w:themeColor="text1"/>
        </w:rPr>
        <w:t>favorable,</w:t>
      </w:r>
      <w:r w:rsidRPr="0081375C">
        <w:rPr>
          <w:rFonts w:ascii="Arial" w:eastAsia="Arial" w:hAnsi="Arial" w:cs="Arial"/>
          <w:color w:val="000000" w:themeColor="text1"/>
        </w:rPr>
        <w:t xml:space="preserve"> es condición necesaria para el reconocimiento del </w:t>
      </w:r>
      <w:r w:rsidR="00B350ED" w:rsidRPr="0081375C">
        <w:rPr>
          <w:rFonts w:ascii="Arial" w:eastAsia="Arial" w:hAnsi="Arial" w:cs="Arial"/>
          <w:color w:val="000000" w:themeColor="text1"/>
        </w:rPr>
        <w:t>incentivo.</w:t>
      </w:r>
      <w:r w:rsidRPr="0081375C">
        <w:rPr>
          <w:rFonts w:ascii="Arial" w:eastAsia="Arial" w:hAnsi="Arial" w:cs="Arial"/>
          <w:color w:val="000000" w:themeColor="text1"/>
        </w:rPr>
        <w:t xml:space="preserve"> La acumulación de informes aprobados constituye el registro longitudinal del esquema, alimenta la evaluación del diseño e implementación como evidencia del desempeño y constituye el insumo principal para la evaluación del bloque 3 en su conjunto</w:t>
      </w:r>
      <w:r w:rsidR="2A4ACFFA" w:rsidRPr="0081375C">
        <w:rPr>
          <w:rFonts w:ascii="Arial" w:eastAsia="Arial" w:hAnsi="Arial" w:cs="Arial"/>
          <w:color w:val="000000" w:themeColor="text1"/>
        </w:rPr>
        <w:t>.</w:t>
      </w:r>
    </w:p>
    <w:p w14:paraId="4C0F714C" w14:textId="77777777" w:rsidR="007C4828" w:rsidRPr="0081375C" w:rsidRDefault="007C4828" w:rsidP="003F6B53">
      <w:pPr>
        <w:spacing w:line="23" w:lineRule="atLeast"/>
        <w:jc w:val="both"/>
        <w:rPr>
          <w:rFonts w:ascii="Arial" w:eastAsia="Aptos" w:hAnsi="Arial" w:cs="Arial"/>
          <w:color w:val="000000" w:themeColor="text1"/>
        </w:rPr>
      </w:pPr>
    </w:p>
    <w:p w14:paraId="69DF5FA3" w14:textId="77777777"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108" w:name="_Toc232154421"/>
      <w:bookmarkStart w:id="109" w:name="_Toc233304204"/>
      <w:r w:rsidRPr="0081375C">
        <w:rPr>
          <w:color w:val="000000" w:themeColor="text1"/>
          <w:lang w:val="es-CO"/>
        </w:rPr>
        <w:t>Reconocimiento del Pago por Servicios Ambientales</w:t>
      </w:r>
      <w:bookmarkEnd w:id="108"/>
      <w:bookmarkEnd w:id="109"/>
    </w:p>
    <w:p w14:paraId="78B7F8C2" w14:textId="77777777" w:rsidR="007C4828" w:rsidRPr="0081375C" w:rsidRDefault="007C4828" w:rsidP="007C4828">
      <w:pPr>
        <w:rPr>
          <w:rFonts w:ascii="Arial" w:hAnsi="Arial" w:cs="Arial"/>
        </w:rPr>
      </w:pPr>
    </w:p>
    <w:p w14:paraId="6BBC4057" w14:textId="75B15A8D"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reconocimiento del incentivo ejecuta el desembolso a los participantes habilitados y cierra el ciclo mensual de seguimiento. Opera en los días hábiles 14 a 20 del ciclo mensual, reservados para las actividades previas al cierre contable; el calendario es relativo y se operacionaliza conforme a las fechas de cierre contable establecidas para cada vigencia.</w:t>
      </w:r>
    </w:p>
    <w:p w14:paraId="6AE8C42B" w14:textId="77777777" w:rsidR="00A56D0A" w:rsidRPr="0081375C" w:rsidRDefault="00A56D0A" w:rsidP="003F6B53">
      <w:pPr>
        <w:spacing w:line="23" w:lineRule="atLeast"/>
        <w:jc w:val="both"/>
        <w:rPr>
          <w:rFonts w:ascii="Arial" w:eastAsia="Aptos" w:hAnsi="Arial" w:cs="Arial"/>
          <w:color w:val="000000" w:themeColor="text1"/>
        </w:rPr>
      </w:pPr>
    </w:p>
    <w:p w14:paraId="2128316B" w14:textId="1943741E" w:rsidR="00825D4D" w:rsidRPr="0081375C" w:rsidRDefault="00806784" w:rsidP="004D64E5">
      <w:pPr>
        <w:pStyle w:val="Default"/>
        <w:rPr>
          <w:b/>
          <w:bCs/>
          <w:sz w:val="22"/>
          <w:szCs w:val="22"/>
        </w:rPr>
      </w:pPr>
      <w:r w:rsidRPr="0081375C">
        <w:rPr>
          <w:b/>
          <w:bCs/>
          <w:sz w:val="22"/>
          <w:szCs w:val="22"/>
        </w:rPr>
        <w:t xml:space="preserve">Requisitos para el </w:t>
      </w:r>
      <w:r w:rsidR="002E4BE1" w:rsidRPr="0081375C">
        <w:rPr>
          <w:b/>
          <w:bCs/>
          <w:sz w:val="22"/>
          <w:szCs w:val="22"/>
        </w:rPr>
        <w:t>P</w:t>
      </w:r>
      <w:r w:rsidRPr="0081375C">
        <w:rPr>
          <w:b/>
          <w:bCs/>
          <w:sz w:val="22"/>
          <w:szCs w:val="22"/>
        </w:rPr>
        <w:t>ago</w:t>
      </w:r>
    </w:p>
    <w:p w14:paraId="67E91740" w14:textId="77777777" w:rsidR="007C4828" w:rsidRPr="0081375C" w:rsidRDefault="007C4828" w:rsidP="003F6B53">
      <w:pPr>
        <w:spacing w:line="23" w:lineRule="atLeast"/>
        <w:jc w:val="both"/>
        <w:rPr>
          <w:rFonts w:ascii="Arial" w:eastAsia="Arial" w:hAnsi="Arial" w:cs="Arial"/>
          <w:color w:val="000000" w:themeColor="text1"/>
        </w:rPr>
      </w:pPr>
    </w:p>
    <w:p w14:paraId="7C30CCDF" w14:textId="0682EDCA"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verificación de requisitos se ejecuta al cierre del día hábil 13 del ciclo mensual y actúa como punto de control integrador del ciclo de seguimiento. No genera datos nuevos; confirma que las condiciones establecidas en el Acuerdo de Pago y en el ciclo de seguimiento están satisfechas para cada predio y cada número de desembolso antes de habilitar el pago.</w:t>
      </w:r>
    </w:p>
    <w:p w14:paraId="20F4C6BD" w14:textId="77777777" w:rsidR="007C4828" w:rsidRPr="0081375C" w:rsidRDefault="007C4828" w:rsidP="003F6B53">
      <w:pPr>
        <w:spacing w:line="23" w:lineRule="atLeast"/>
        <w:jc w:val="both"/>
        <w:rPr>
          <w:rFonts w:ascii="Arial" w:eastAsia="Aptos" w:hAnsi="Arial" w:cs="Arial"/>
          <w:color w:val="000000" w:themeColor="text1"/>
        </w:rPr>
      </w:pPr>
    </w:p>
    <w:p w14:paraId="1B10C2B2" w14:textId="199B024A"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Al cierre del día hábil 13 se identifican los predios del bloque que completan ciclo en el mes en curso y el número de desembolso que corresponde a cada uno conforme al plan de pagos</w:t>
      </w:r>
      <w:r w:rsidR="007C4828" w:rsidRPr="0081375C">
        <w:rPr>
          <w:rFonts w:ascii="Arial" w:eastAsia="Arial" w:hAnsi="Arial" w:cs="Arial"/>
          <w:color w:val="000000" w:themeColor="text1"/>
        </w:rPr>
        <w:t>.</w:t>
      </w:r>
    </w:p>
    <w:p w14:paraId="628AD9BE" w14:textId="77777777" w:rsidR="007C4828" w:rsidRPr="0081375C" w:rsidRDefault="007C4828" w:rsidP="003F6B53">
      <w:pPr>
        <w:spacing w:line="23" w:lineRule="atLeast"/>
        <w:jc w:val="both"/>
        <w:rPr>
          <w:rFonts w:ascii="Arial" w:eastAsia="Arial" w:hAnsi="Arial" w:cs="Arial"/>
          <w:color w:val="000000" w:themeColor="text1"/>
        </w:rPr>
      </w:pPr>
    </w:p>
    <w:p w14:paraId="5C2148F7" w14:textId="5760A2D3" w:rsidR="00825D4D" w:rsidRPr="0081375C" w:rsidRDefault="00806784"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Para cada predio se verifican cuatro requisitos concurrentes</w:t>
      </w:r>
      <w:r w:rsidR="304BF211" w:rsidRPr="0081375C">
        <w:rPr>
          <w:rFonts w:ascii="Arial" w:eastAsia="Arial" w:hAnsi="Arial" w:cs="Arial"/>
          <w:color w:val="000000" w:themeColor="text1"/>
        </w:rPr>
        <w:t xml:space="preserve">: </w:t>
      </w:r>
    </w:p>
    <w:p w14:paraId="02A3266A" w14:textId="2281FBF7" w:rsidR="00825D4D" w:rsidRPr="0081375C" w:rsidRDefault="00806784" w:rsidP="00B763AF">
      <w:pPr>
        <w:pStyle w:val="Prrafodelista"/>
        <w:numPr>
          <w:ilvl w:val="0"/>
          <w:numId w:val="25"/>
        </w:num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 El primero es el </w:t>
      </w:r>
      <w:r w:rsidRPr="0081375C">
        <w:rPr>
          <w:rFonts w:ascii="Arial" w:eastAsia="Arial" w:hAnsi="Arial" w:cs="Arial"/>
          <w:b/>
          <w:bCs/>
          <w:i/>
          <w:iCs/>
          <w:color w:val="000000" w:themeColor="text1"/>
        </w:rPr>
        <w:t>FO-GEAM</w:t>
      </w:r>
      <w:r w:rsidRPr="0081375C">
        <w:rPr>
          <w:rFonts w:ascii="Arial" w:eastAsia="Arial" w:hAnsi="Arial" w:cs="Arial"/>
          <w:color w:val="000000" w:themeColor="text1"/>
        </w:rPr>
        <w:t xml:space="preserve"> </w:t>
      </w:r>
      <w:r w:rsidR="00FA636E" w:rsidRPr="0081375C">
        <w:rPr>
          <w:rFonts w:ascii="Arial" w:eastAsia="Arial" w:hAnsi="Arial" w:cs="Arial"/>
          <w:b/>
          <w:bCs/>
          <w:i/>
          <w:iCs/>
          <w:color w:val="000000" w:themeColor="text1"/>
        </w:rPr>
        <w:t>Informe de seguimiento por pago de servicios ambientales</w:t>
      </w:r>
      <w:r w:rsidR="00FA636E" w:rsidRPr="0081375C">
        <w:rPr>
          <w:rFonts w:ascii="Arial" w:eastAsia="Arial" w:hAnsi="Arial" w:cs="Arial"/>
          <w:color w:val="000000" w:themeColor="text1"/>
        </w:rPr>
        <w:t xml:space="preserve"> </w:t>
      </w:r>
      <w:r w:rsidRPr="0081375C">
        <w:rPr>
          <w:rFonts w:ascii="Arial" w:eastAsia="Arial" w:hAnsi="Arial" w:cs="Arial"/>
          <w:color w:val="000000" w:themeColor="text1"/>
        </w:rPr>
        <w:t>aprobado con aval favorable del desembolso, archivado en el expediente del predio antes del cierre del día hábil 13.</w:t>
      </w:r>
      <w:r w:rsidR="00AB63AB" w:rsidRPr="0081375C">
        <w:rPr>
          <w:rFonts w:ascii="Arial" w:eastAsia="Arial" w:hAnsi="Arial" w:cs="Arial"/>
          <w:color w:val="000000" w:themeColor="text1"/>
        </w:rPr>
        <w:t xml:space="preserve"> Así como el diligenciamiento del Anexo 1 en los casos que corresponda.</w:t>
      </w:r>
      <w:r w:rsidRPr="0081375C">
        <w:rPr>
          <w:rFonts w:ascii="Arial" w:eastAsia="Arial" w:hAnsi="Arial" w:cs="Arial"/>
          <w:color w:val="000000" w:themeColor="text1"/>
        </w:rPr>
        <w:t xml:space="preserve"> </w:t>
      </w:r>
    </w:p>
    <w:p w14:paraId="6578E147" w14:textId="762B666C" w:rsidR="00825D4D" w:rsidRPr="0081375C" w:rsidRDefault="00806784" w:rsidP="00FA636E">
      <w:pPr>
        <w:pStyle w:val="Prrafodelista"/>
        <w:numPr>
          <w:ilvl w:val="0"/>
          <w:numId w:val="25"/>
        </w:num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segundo es el concepto jurídico del ciclo favorable, sin alertas de Grupo 1 activas sin resolver, archivado en el expediente. </w:t>
      </w:r>
    </w:p>
    <w:p w14:paraId="6278B078" w14:textId="0CE62C2F" w:rsidR="00825D4D" w:rsidRPr="0081375C" w:rsidRDefault="00806784" w:rsidP="00FA636E">
      <w:pPr>
        <w:pStyle w:val="Prrafodelista"/>
        <w:numPr>
          <w:ilvl w:val="0"/>
          <w:numId w:val="25"/>
        </w:num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tercero es la ausencia de proceso sancionatorio activo que bloquee el pago. </w:t>
      </w:r>
    </w:p>
    <w:p w14:paraId="2D786EF6" w14:textId="7C919F9D" w:rsidR="00825D4D" w:rsidRPr="0081375C" w:rsidRDefault="00806784">
      <w:pPr>
        <w:pStyle w:val="Prrafodelista"/>
        <w:numPr>
          <w:ilvl w:val="0"/>
          <w:numId w:val="25"/>
        </w:num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El cuarto es la evidencia vigente del pago del impuesto predial del periodo vencido o de un acuerdo de facilidad de pago activo con la Subsecretaría de Tesorería, condición establecida en el Acuerdo de Pago y exigible en cada desembolso.</w:t>
      </w:r>
    </w:p>
    <w:p w14:paraId="1ED77DD4" w14:textId="41D904D5" w:rsidR="00B763AF" w:rsidRPr="0081375C" w:rsidRDefault="00B763AF" w:rsidP="00B2034C">
      <w:pPr>
        <w:pStyle w:val="Prrafodelista"/>
        <w:spacing w:line="23" w:lineRule="atLeast"/>
        <w:jc w:val="both"/>
        <w:rPr>
          <w:rFonts w:ascii="Arial" w:eastAsia="Arial" w:hAnsi="Arial" w:cs="Arial"/>
          <w:color w:val="000000" w:themeColor="text1"/>
        </w:rPr>
      </w:pPr>
    </w:p>
    <w:p w14:paraId="03E0EF7C" w14:textId="77777777" w:rsidR="007C4828" w:rsidRPr="0081375C" w:rsidRDefault="007C4828" w:rsidP="003F6B53">
      <w:pPr>
        <w:spacing w:line="23" w:lineRule="atLeast"/>
        <w:jc w:val="both"/>
        <w:rPr>
          <w:rFonts w:ascii="Arial" w:eastAsia="Aptos" w:hAnsi="Arial" w:cs="Arial"/>
          <w:color w:val="000000" w:themeColor="text1"/>
        </w:rPr>
      </w:pPr>
    </w:p>
    <w:p w14:paraId="072D5451"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Cuando los cuatro requisitos se cumplen, el predio se habilita para pago y se remite con la aprobación de desembolso, el valor del incentivo y la cuenta bancaria del participante al área encargada para el pago. Cuando algún requisito falla, el desembolso queda bloqueado; se documenta en el expediente el requisito incumplido y se notifica al área administrativa y financiera. Si el requisito es subsanable antes del cierre contable del ciclo, se gestiona la subsanación y se habilita el pago dentro del mismo mes. Si no es subsanable en ese plazo, el desembolso se difiere conforme a la regla de traslado establecida.</w:t>
      </w:r>
    </w:p>
    <w:p w14:paraId="0905C0CB" w14:textId="09892896" w:rsidR="007C4828" w:rsidRPr="0081375C" w:rsidRDefault="007C4828" w:rsidP="003F6B53">
      <w:pPr>
        <w:spacing w:line="23" w:lineRule="atLeast"/>
        <w:jc w:val="both"/>
        <w:rPr>
          <w:rFonts w:ascii="Arial" w:eastAsia="Aptos" w:hAnsi="Arial" w:cs="Arial"/>
          <w:color w:val="000000" w:themeColor="text1"/>
        </w:rPr>
      </w:pPr>
    </w:p>
    <w:p w14:paraId="7143CA10" w14:textId="598FAECB" w:rsidR="00365139" w:rsidRPr="0081375C" w:rsidRDefault="00365139" w:rsidP="65049D20">
      <w:pPr>
        <w:spacing w:line="23" w:lineRule="atLeast"/>
        <w:jc w:val="both"/>
        <w:rPr>
          <w:rFonts w:ascii="Arial" w:eastAsia="Aptos" w:hAnsi="Arial" w:cs="Arial"/>
          <w:color w:val="000000" w:themeColor="text1"/>
        </w:rPr>
      </w:pPr>
    </w:p>
    <w:p w14:paraId="67917B9B" w14:textId="55219561" w:rsidR="00825D4D" w:rsidRPr="0081375C" w:rsidRDefault="00806784" w:rsidP="003F6B53">
      <w:pPr>
        <w:spacing w:line="23" w:lineRule="atLeast"/>
        <w:jc w:val="both"/>
        <w:rPr>
          <w:rFonts w:ascii="Arial" w:eastAsia="Aptos" w:hAnsi="Arial" w:cs="Arial"/>
          <w:b/>
          <w:bCs/>
          <w:color w:val="000000" w:themeColor="text1"/>
          <w:sz w:val="20"/>
          <w:szCs w:val="20"/>
        </w:rPr>
      </w:pPr>
      <w:bookmarkStart w:id="110" w:name="_Toc233040684"/>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37</w:t>
      </w:r>
      <w:r w:rsidRPr="0081375C">
        <w:rPr>
          <w:rFonts w:ascii="Arial" w:hAnsi="Arial" w:cs="Arial"/>
          <w:b/>
          <w:bCs/>
          <w:color w:val="000000" w:themeColor="text1"/>
          <w:sz w:val="20"/>
          <w:szCs w:val="20"/>
        </w:rPr>
        <w:fldChar w:fldCharType="end"/>
      </w:r>
      <w:r w:rsidRPr="0081375C">
        <w:rPr>
          <w:rFonts w:ascii="Arial" w:eastAsia="Aptos" w:hAnsi="Arial" w:cs="Arial"/>
          <w:b/>
          <w:bCs/>
          <w:color w:val="000000" w:themeColor="text1"/>
          <w:sz w:val="20"/>
          <w:szCs w:val="20"/>
        </w:rPr>
        <w:t xml:space="preserve"> Actividades para aprobación del pago</w:t>
      </w:r>
      <w:bookmarkEnd w:id="110"/>
    </w:p>
    <w:tbl>
      <w:tblPr>
        <w:tblW w:w="8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5381"/>
        <w:gridCol w:w="3255"/>
      </w:tblGrid>
      <w:tr w:rsidR="00825D4D" w:rsidRPr="0081375C" w14:paraId="4492C80E" w14:textId="77777777" w:rsidTr="002E4BE1">
        <w:trPr>
          <w:trHeight w:val="20"/>
        </w:trPr>
        <w:tc>
          <w:tcPr>
            <w:tcW w:w="5381" w:type="dxa"/>
            <w:vAlign w:val="center"/>
          </w:tcPr>
          <w:p w14:paraId="533FC864"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c>
          <w:tcPr>
            <w:tcW w:w="3255" w:type="dxa"/>
            <w:vAlign w:val="center"/>
          </w:tcPr>
          <w:p w14:paraId="50F7916C"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Plazo relativo al cierre contable</w:t>
            </w:r>
          </w:p>
        </w:tc>
      </w:tr>
      <w:tr w:rsidR="00825D4D" w:rsidRPr="0081375C" w14:paraId="587DD2A2" w14:textId="77777777" w:rsidTr="002E4BE1">
        <w:trPr>
          <w:trHeight w:val="20"/>
        </w:trPr>
        <w:tc>
          <w:tcPr>
            <w:tcW w:w="5381" w:type="dxa"/>
            <w:vAlign w:val="center"/>
          </w:tcPr>
          <w:p w14:paraId="4E11A989"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Identificación de predios del bloque y aprobación de desembolso</w:t>
            </w:r>
          </w:p>
        </w:tc>
        <w:tc>
          <w:tcPr>
            <w:tcW w:w="3255" w:type="dxa"/>
            <w:vMerge w:val="restart"/>
            <w:vAlign w:val="center"/>
          </w:tcPr>
          <w:p w14:paraId="16A1CE8E" w14:textId="77777777" w:rsidR="00825D4D" w:rsidRPr="0081375C" w:rsidRDefault="00806784" w:rsidP="002E4BE1">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Cierre del día hábil 20</w:t>
            </w:r>
          </w:p>
        </w:tc>
      </w:tr>
      <w:tr w:rsidR="00825D4D" w:rsidRPr="0081375C" w14:paraId="31696552" w14:textId="77777777" w:rsidTr="002E4BE1">
        <w:trPr>
          <w:trHeight w:val="20"/>
        </w:trPr>
        <w:tc>
          <w:tcPr>
            <w:tcW w:w="5381" w:type="dxa"/>
            <w:vAlign w:val="center"/>
          </w:tcPr>
          <w:p w14:paraId="6E0681C4"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Verificación de los cuatro requisitos</w:t>
            </w:r>
          </w:p>
        </w:tc>
        <w:tc>
          <w:tcPr>
            <w:tcW w:w="3255" w:type="dxa"/>
            <w:vMerge/>
            <w:vAlign w:val="center"/>
          </w:tcPr>
          <w:p w14:paraId="0AAD3225" w14:textId="77777777" w:rsidR="00825D4D" w:rsidRPr="0081375C" w:rsidRDefault="00825D4D" w:rsidP="002E4BE1">
            <w:pPr>
              <w:spacing w:line="23" w:lineRule="atLeast"/>
              <w:mirrorIndents/>
              <w:jc w:val="center"/>
              <w:rPr>
                <w:rFonts w:ascii="Arial" w:hAnsi="Arial" w:cs="Arial"/>
                <w:color w:val="000000" w:themeColor="text1"/>
                <w:sz w:val="20"/>
                <w:szCs w:val="20"/>
              </w:rPr>
            </w:pPr>
          </w:p>
        </w:tc>
      </w:tr>
      <w:tr w:rsidR="00825D4D" w:rsidRPr="0081375C" w14:paraId="0695D676" w14:textId="77777777" w:rsidTr="002E4BE1">
        <w:trPr>
          <w:trHeight w:val="20"/>
        </w:trPr>
        <w:tc>
          <w:tcPr>
            <w:tcW w:w="5381" w:type="dxa"/>
            <w:vAlign w:val="center"/>
          </w:tcPr>
          <w:p w14:paraId="3360D740"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Remisión de habilitados al área encargada del pago</w:t>
            </w:r>
          </w:p>
        </w:tc>
        <w:tc>
          <w:tcPr>
            <w:tcW w:w="3255" w:type="dxa"/>
            <w:vMerge/>
            <w:vAlign w:val="center"/>
          </w:tcPr>
          <w:p w14:paraId="252E91A3" w14:textId="77777777" w:rsidR="00825D4D" w:rsidRPr="0081375C" w:rsidRDefault="00825D4D" w:rsidP="002E4BE1">
            <w:pPr>
              <w:spacing w:line="23" w:lineRule="atLeast"/>
              <w:mirrorIndents/>
              <w:jc w:val="center"/>
              <w:rPr>
                <w:rFonts w:ascii="Arial" w:hAnsi="Arial" w:cs="Arial"/>
                <w:color w:val="000000" w:themeColor="text1"/>
                <w:sz w:val="20"/>
                <w:szCs w:val="20"/>
              </w:rPr>
            </w:pPr>
          </w:p>
        </w:tc>
      </w:tr>
      <w:tr w:rsidR="00825D4D" w:rsidRPr="0081375C" w14:paraId="56902FC8" w14:textId="77777777" w:rsidTr="002E4BE1">
        <w:trPr>
          <w:trHeight w:val="20"/>
        </w:trPr>
        <w:tc>
          <w:tcPr>
            <w:tcW w:w="5381" w:type="dxa"/>
            <w:vAlign w:val="center"/>
          </w:tcPr>
          <w:p w14:paraId="3D5121D8" w14:textId="77777777" w:rsidR="00825D4D" w:rsidRPr="0081375C" w:rsidRDefault="00806784" w:rsidP="002E4BE1">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Documentación de bloqueos</w:t>
            </w:r>
          </w:p>
        </w:tc>
        <w:tc>
          <w:tcPr>
            <w:tcW w:w="3255" w:type="dxa"/>
            <w:vMerge/>
            <w:vAlign w:val="center"/>
          </w:tcPr>
          <w:p w14:paraId="6C8C1F0D" w14:textId="77777777" w:rsidR="00825D4D" w:rsidRPr="0081375C" w:rsidRDefault="00825D4D" w:rsidP="002E4BE1">
            <w:pPr>
              <w:spacing w:line="23" w:lineRule="atLeast"/>
              <w:mirrorIndents/>
              <w:jc w:val="center"/>
              <w:rPr>
                <w:rFonts w:ascii="Arial" w:hAnsi="Arial" w:cs="Arial"/>
                <w:color w:val="000000" w:themeColor="text1"/>
                <w:sz w:val="20"/>
                <w:szCs w:val="20"/>
              </w:rPr>
            </w:pPr>
          </w:p>
        </w:tc>
      </w:tr>
    </w:tbl>
    <w:p w14:paraId="50AD4DDB" w14:textId="77777777" w:rsidR="007C4828" w:rsidRPr="0081375C" w:rsidRDefault="007C4828" w:rsidP="003F6B53">
      <w:pPr>
        <w:spacing w:line="23" w:lineRule="atLeast"/>
        <w:jc w:val="both"/>
        <w:rPr>
          <w:rFonts w:ascii="Arial" w:eastAsia="Arial" w:hAnsi="Arial" w:cs="Arial"/>
          <w:color w:val="000000" w:themeColor="text1"/>
        </w:rPr>
      </w:pPr>
    </w:p>
    <w:p w14:paraId="4F26D1CB" w14:textId="1048B751"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ausencia de cualquiera de los cuatro requisitos bloquea el pago del periodo. </w:t>
      </w:r>
    </w:p>
    <w:p w14:paraId="126D5675" w14:textId="5231A007"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proceso sancionatorio activo y la alerta jurídica de Grupo 1 sin resolver son las causales de bloqueo más frecuentes y se trasladan automáticamente a esta verificación sin necesidad de relectura del expediente completo, siempre que los estados estén actualizados al cierre del día hábil 13.</w:t>
      </w:r>
    </w:p>
    <w:p w14:paraId="7EE01025" w14:textId="77777777" w:rsidR="007C4828" w:rsidRPr="0081375C" w:rsidRDefault="007C4828" w:rsidP="003F6B53">
      <w:pPr>
        <w:spacing w:line="23" w:lineRule="atLeast"/>
        <w:jc w:val="both"/>
        <w:rPr>
          <w:rFonts w:ascii="Arial" w:eastAsia="Aptos" w:hAnsi="Arial" w:cs="Arial"/>
          <w:color w:val="000000" w:themeColor="text1"/>
        </w:rPr>
      </w:pPr>
    </w:p>
    <w:p w14:paraId="079A92A3" w14:textId="42122E00" w:rsidR="00825D4D" w:rsidRPr="0081375C" w:rsidRDefault="00806784" w:rsidP="0070084E">
      <w:pPr>
        <w:pStyle w:val="Ttulo4"/>
        <w:numPr>
          <w:ilvl w:val="3"/>
          <w:numId w:val="27"/>
        </w:numPr>
        <w:spacing w:before="0" w:after="0" w:line="23" w:lineRule="atLeast"/>
        <w:rPr>
          <w:rFonts w:cs="Arial"/>
          <w:color w:val="000000" w:themeColor="text1"/>
        </w:rPr>
      </w:pPr>
      <w:bookmarkStart w:id="111" w:name="_Toc233304205"/>
      <w:r w:rsidRPr="0081375C">
        <w:rPr>
          <w:rFonts w:eastAsia="Aptos" w:cs="Arial"/>
          <w:bCs/>
          <w:color w:val="000000" w:themeColor="text1"/>
        </w:rPr>
        <w:t xml:space="preserve">Procedimiento para el </w:t>
      </w:r>
      <w:r w:rsidR="00667AA5" w:rsidRPr="0081375C">
        <w:rPr>
          <w:rFonts w:eastAsia="Aptos" w:cs="Arial"/>
          <w:bCs/>
          <w:color w:val="000000" w:themeColor="text1"/>
        </w:rPr>
        <w:t>P</w:t>
      </w:r>
      <w:r w:rsidRPr="0081375C">
        <w:rPr>
          <w:rFonts w:eastAsia="Aptos" w:cs="Arial"/>
          <w:bCs/>
          <w:color w:val="000000" w:themeColor="text1"/>
        </w:rPr>
        <w:t>ago</w:t>
      </w:r>
      <w:bookmarkEnd w:id="111"/>
    </w:p>
    <w:p w14:paraId="41104C9B" w14:textId="77777777" w:rsidR="007C4828" w:rsidRPr="0081375C" w:rsidRDefault="007C4828" w:rsidP="003F6B53">
      <w:pPr>
        <w:spacing w:line="23" w:lineRule="atLeast"/>
        <w:jc w:val="both"/>
        <w:rPr>
          <w:rFonts w:ascii="Arial" w:eastAsia="Arial" w:hAnsi="Arial" w:cs="Arial"/>
          <w:color w:val="000000" w:themeColor="text1"/>
        </w:rPr>
      </w:pPr>
    </w:p>
    <w:p w14:paraId="7BEFB7F9" w14:textId="5EF3910B"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Recibida la lista de predios habilitados, el día hábil 14 se verifica el listado de documentación en carpetas: se constata que los cuatro requisitos estén satisfechos para cada predio y que el expediente del predio esté completo; las inconsistencias detectadas deben resolverse en el mismo día para no comprometer la secuencia. El día hábil 15 se calcula el valor del incentivo por predio, conforme a la metodología y al plan de pagos vigente en el Acuerdo de Pago; cuando la disponibilidad presupuestal no está asegurada para el total a desembolsar, se escala a la dirección, se documenta la restricción con la fecha esperada de disponibilidad y se comunica al participante el diferimiento con su causa y plazo estimado. </w:t>
      </w:r>
    </w:p>
    <w:p w14:paraId="22EB208A" w14:textId="77777777" w:rsidR="007C4828" w:rsidRPr="0081375C" w:rsidRDefault="007C4828" w:rsidP="003F6B53">
      <w:pPr>
        <w:spacing w:line="23" w:lineRule="atLeast"/>
        <w:jc w:val="both"/>
        <w:rPr>
          <w:rFonts w:ascii="Arial" w:eastAsia="Aptos" w:hAnsi="Arial" w:cs="Arial"/>
          <w:color w:val="000000" w:themeColor="text1"/>
        </w:rPr>
      </w:pPr>
    </w:p>
    <w:p w14:paraId="461AAA17"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En los días hábiles 16 y 17 se efectúa la contabilización de los incentivos en la plataforma del sistema financiero, dando cierre al ciclo contable correspondiente.</w:t>
      </w:r>
    </w:p>
    <w:p w14:paraId="50B7B7DD" w14:textId="77777777" w:rsidR="007C4828" w:rsidRPr="0081375C" w:rsidRDefault="007C4828" w:rsidP="003F6B53">
      <w:pPr>
        <w:spacing w:line="23" w:lineRule="atLeast"/>
        <w:jc w:val="both"/>
        <w:rPr>
          <w:rFonts w:ascii="Arial" w:eastAsia="Aptos" w:hAnsi="Arial" w:cs="Arial"/>
          <w:color w:val="000000" w:themeColor="text1"/>
        </w:rPr>
      </w:pPr>
    </w:p>
    <w:p w14:paraId="6C5D3E76"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Durante los días hábiles 18 y 19, la supervisión realiza la revisión de la solicitud de pago y emite el respectivo aval. Una vez aprobado los pagos, se genera para cada predio habilitado la orden de pago, en la cual se registra el valor del incentivo y los datos bancarios del participante, de acuerdo con lo establecido en el plan de pagos del Acuerdo de Pago.</w:t>
      </w:r>
    </w:p>
    <w:p w14:paraId="58618AA2" w14:textId="77777777" w:rsidR="007C4828" w:rsidRPr="0081375C" w:rsidRDefault="007C4828" w:rsidP="003F6B53">
      <w:pPr>
        <w:spacing w:line="23" w:lineRule="atLeast"/>
        <w:jc w:val="both"/>
        <w:rPr>
          <w:rFonts w:ascii="Arial" w:eastAsia="Aptos" w:hAnsi="Arial" w:cs="Arial"/>
          <w:color w:val="000000" w:themeColor="text1"/>
        </w:rPr>
      </w:pPr>
    </w:p>
    <w:p w14:paraId="30646E49"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Finalmente, en el día hábil 20 se radica ante la fiducia el oficio con las órdenes de pago previamente aprobadas por la supervisión.</w:t>
      </w:r>
    </w:p>
    <w:p w14:paraId="594E214A" w14:textId="77777777" w:rsidR="007C4828" w:rsidRPr="0081375C" w:rsidRDefault="007C4828" w:rsidP="003F6B53">
      <w:pPr>
        <w:spacing w:line="23" w:lineRule="atLeast"/>
        <w:jc w:val="both"/>
        <w:rPr>
          <w:rFonts w:ascii="Arial" w:eastAsia="Aptos" w:hAnsi="Arial" w:cs="Arial"/>
          <w:color w:val="000000" w:themeColor="text1"/>
        </w:rPr>
      </w:pPr>
    </w:p>
    <w:p w14:paraId="652A7456" w14:textId="526ACDE8"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Una vez realizada la transferencia bancaria a la cuenta del participante, se valida el resultado de la transacción. En caso de que la transferencia sea rechazada por cuenta inactiva, datos incorrectos u otro tipo de error, se notifica al participante para la actualización de la información requerida, se documenta la incidencia y se realiza un nuevo intento de transferencia una vez se hayan corregido las novedades. Cuando la transferencia es exitosa, se obtiene el comprobante correspondiente</w:t>
      </w:r>
      <w:r w:rsidR="37E3DE0C" w:rsidRPr="0081375C">
        <w:rPr>
          <w:rFonts w:ascii="Arial" w:eastAsia="Arial" w:hAnsi="Arial" w:cs="Arial"/>
          <w:color w:val="000000" w:themeColor="text1"/>
        </w:rPr>
        <w:t>.</w:t>
      </w:r>
    </w:p>
    <w:p w14:paraId="6CF03B36" w14:textId="77777777" w:rsidR="007C4828" w:rsidRPr="0081375C" w:rsidRDefault="007C4828" w:rsidP="003F6B53">
      <w:pPr>
        <w:spacing w:line="23" w:lineRule="atLeast"/>
        <w:jc w:val="both"/>
        <w:rPr>
          <w:rFonts w:ascii="Arial" w:eastAsia="Aptos" w:hAnsi="Arial" w:cs="Arial"/>
          <w:color w:val="000000" w:themeColor="text1"/>
        </w:rPr>
      </w:pPr>
    </w:p>
    <w:p w14:paraId="1A679229" w14:textId="1C250544"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comprobante se archiva en el expediente del predio vinculado al número de desembolso y al </w:t>
      </w:r>
      <w:r w:rsidRPr="0081375C">
        <w:rPr>
          <w:rFonts w:ascii="Arial" w:eastAsia="Arial" w:hAnsi="Arial" w:cs="Arial"/>
          <w:b/>
          <w:bCs/>
          <w:i/>
          <w:iCs/>
          <w:color w:val="000000" w:themeColor="text1"/>
        </w:rPr>
        <w:t>FO-GEAM</w:t>
      </w:r>
      <w:r w:rsidRPr="0081375C">
        <w:rPr>
          <w:rFonts w:ascii="Arial" w:eastAsia="Arial" w:hAnsi="Arial" w:cs="Arial"/>
          <w:color w:val="000000" w:themeColor="text1"/>
        </w:rPr>
        <w:t xml:space="preserve"> </w:t>
      </w:r>
      <w:r w:rsidR="007C29C0" w:rsidRPr="0081375C">
        <w:rPr>
          <w:rFonts w:ascii="Arial" w:eastAsia="Arial" w:hAnsi="Arial" w:cs="Arial"/>
          <w:b/>
          <w:bCs/>
          <w:i/>
          <w:iCs/>
          <w:color w:val="000000" w:themeColor="text1"/>
        </w:rPr>
        <w:t xml:space="preserve">Informe de </w:t>
      </w:r>
      <w:r w:rsidR="00280E96" w:rsidRPr="0081375C">
        <w:rPr>
          <w:rFonts w:ascii="Arial" w:eastAsia="Arial" w:hAnsi="Arial" w:cs="Arial"/>
          <w:b/>
          <w:bCs/>
          <w:i/>
          <w:iCs/>
          <w:color w:val="000000" w:themeColor="text1"/>
        </w:rPr>
        <w:t>S</w:t>
      </w:r>
      <w:r w:rsidR="007C29C0" w:rsidRPr="0081375C">
        <w:rPr>
          <w:rFonts w:ascii="Arial" w:eastAsia="Arial" w:hAnsi="Arial" w:cs="Arial"/>
          <w:b/>
          <w:bCs/>
          <w:i/>
          <w:iCs/>
          <w:color w:val="000000" w:themeColor="text1"/>
        </w:rPr>
        <w:t xml:space="preserve">eguimiento por </w:t>
      </w:r>
      <w:r w:rsidR="00280E96" w:rsidRPr="0081375C">
        <w:rPr>
          <w:rFonts w:ascii="Arial" w:eastAsia="Arial" w:hAnsi="Arial" w:cs="Arial"/>
          <w:b/>
          <w:bCs/>
          <w:i/>
          <w:iCs/>
          <w:color w:val="000000" w:themeColor="text1"/>
        </w:rPr>
        <w:t>P</w:t>
      </w:r>
      <w:r w:rsidR="007C29C0" w:rsidRPr="0081375C">
        <w:rPr>
          <w:rFonts w:ascii="Arial" w:eastAsia="Arial" w:hAnsi="Arial" w:cs="Arial"/>
          <w:b/>
          <w:bCs/>
          <w:i/>
          <w:iCs/>
          <w:color w:val="000000" w:themeColor="text1"/>
        </w:rPr>
        <w:t xml:space="preserve">ago de </w:t>
      </w:r>
      <w:r w:rsidR="00280E96" w:rsidRPr="0081375C">
        <w:rPr>
          <w:rFonts w:ascii="Arial" w:eastAsia="Arial" w:hAnsi="Arial" w:cs="Arial"/>
          <w:b/>
          <w:bCs/>
          <w:i/>
          <w:iCs/>
          <w:color w:val="000000" w:themeColor="text1"/>
        </w:rPr>
        <w:t>S</w:t>
      </w:r>
      <w:r w:rsidR="007C29C0" w:rsidRPr="0081375C">
        <w:rPr>
          <w:rFonts w:ascii="Arial" w:eastAsia="Arial" w:hAnsi="Arial" w:cs="Arial"/>
          <w:b/>
          <w:bCs/>
          <w:i/>
          <w:iCs/>
          <w:color w:val="000000" w:themeColor="text1"/>
        </w:rPr>
        <w:t xml:space="preserve">ervicios </w:t>
      </w:r>
      <w:r w:rsidR="00280E96" w:rsidRPr="0081375C">
        <w:rPr>
          <w:rFonts w:ascii="Arial" w:eastAsia="Arial" w:hAnsi="Arial" w:cs="Arial"/>
          <w:b/>
          <w:bCs/>
          <w:i/>
          <w:iCs/>
          <w:color w:val="000000" w:themeColor="text1"/>
        </w:rPr>
        <w:t>A</w:t>
      </w:r>
      <w:r w:rsidR="007C29C0" w:rsidRPr="0081375C">
        <w:rPr>
          <w:rFonts w:ascii="Arial" w:eastAsia="Arial" w:hAnsi="Arial" w:cs="Arial"/>
          <w:b/>
          <w:bCs/>
          <w:i/>
          <w:iCs/>
          <w:color w:val="000000" w:themeColor="text1"/>
        </w:rPr>
        <w:t>mbientales</w:t>
      </w:r>
      <w:r w:rsidR="007C29C0" w:rsidRPr="0081375C">
        <w:rPr>
          <w:rFonts w:ascii="Arial" w:eastAsia="Arial" w:hAnsi="Arial" w:cs="Arial"/>
          <w:color w:val="000000" w:themeColor="text1"/>
        </w:rPr>
        <w:t xml:space="preserve"> </w:t>
      </w:r>
      <w:r w:rsidRPr="0081375C">
        <w:rPr>
          <w:rFonts w:ascii="Arial" w:eastAsia="Arial" w:hAnsi="Arial" w:cs="Arial"/>
          <w:color w:val="000000" w:themeColor="text1"/>
        </w:rPr>
        <w:t>del ciclo, y la fecha de pago efectivo se registra en la tabla de plan de pagos y desembolsos del expediente.</w:t>
      </w:r>
    </w:p>
    <w:p w14:paraId="7B3965CC" w14:textId="77777777" w:rsidR="007C4828" w:rsidRPr="0081375C" w:rsidRDefault="007C4828" w:rsidP="003F6B53">
      <w:pPr>
        <w:spacing w:line="23" w:lineRule="atLeast"/>
        <w:jc w:val="both"/>
        <w:rPr>
          <w:rFonts w:ascii="Arial" w:eastAsia="Aptos" w:hAnsi="Arial" w:cs="Arial"/>
          <w:color w:val="000000" w:themeColor="text1"/>
        </w:rPr>
      </w:pPr>
    </w:p>
    <w:p w14:paraId="125EFA80" w14:textId="5D90A57C" w:rsidR="00825D4D" w:rsidRPr="0081375C" w:rsidRDefault="00806784" w:rsidP="003F6B53">
      <w:pPr>
        <w:spacing w:line="23" w:lineRule="atLeast"/>
        <w:jc w:val="both"/>
        <w:rPr>
          <w:rFonts w:ascii="Arial" w:hAnsi="Arial" w:cs="Arial"/>
          <w:b/>
          <w:bCs/>
          <w:color w:val="000000" w:themeColor="text1"/>
          <w:sz w:val="20"/>
          <w:szCs w:val="20"/>
        </w:rPr>
      </w:pPr>
      <w:bookmarkStart w:id="112" w:name="_Toc233040685"/>
      <w:r w:rsidRPr="0081375C">
        <w:rPr>
          <w:rFonts w:ascii="Arial" w:hAnsi="Arial" w:cs="Arial"/>
          <w:b/>
          <w:bCs/>
          <w:color w:val="000000" w:themeColor="text1"/>
          <w:sz w:val="20"/>
          <w:szCs w:val="20"/>
        </w:rPr>
        <w:t xml:space="preserve">Tabla </w:t>
      </w:r>
      <w:r w:rsidRPr="0081375C">
        <w:rPr>
          <w:rFonts w:ascii="Arial" w:hAnsi="Arial" w:cs="Arial"/>
          <w:b/>
          <w:bCs/>
          <w:color w:val="000000" w:themeColor="text1"/>
          <w:sz w:val="20"/>
          <w:szCs w:val="20"/>
        </w:rPr>
        <w:fldChar w:fldCharType="begin"/>
      </w:r>
      <w:r w:rsidRPr="0081375C">
        <w:rPr>
          <w:rFonts w:ascii="Arial" w:hAnsi="Arial" w:cs="Arial"/>
          <w:b/>
          <w:bCs/>
          <w:color w:val="000000" w:themeColor="text1"/>
          <w:sz w:val="20"/>
          <w:szCs w:val="20"/>
        </w:rPr>
        <w:instrText xml:space="preserve"> SEQ Tabla \* ARABIC </w:instrText>
      </w:r>
      <w:r w:rsidRPr="0081375C">
        <w:rPr>
          <w:rFonts w:ascii="Arial" w:hAnsi="Arial" w:cs="Arial"/>
          <w:b/>
          <w:bCs/>
          <w:color w:val="000000" w:themeColor="text1"/>
          <w:sz w:val="20"/>
          <w:szCs w:val="20"/>
        </w:rPr>
        <w:fldChar w:fldCharType="separate"/>
      </w:r>
      <w:r w:rsidR="00921CE3" w:rsidRPr="0081375C">
        <w:rPr>
          <w:rFonts w:ascii="Arial" w:hAnsi="Arial" w:cs="Arial"/>
          <w:b/>
          <w:bCs/>
          <w:noProof/>
          <w:color w:val="000000" w:themeColor="text1"/>
          <w:sz w:val="20"/>
          <w:szCs w:val="20"/>
        </w:rPr>
        <w:t>38</w:t>
      </w:r>
      <w:r w:rsidRPr="0081375C">
        <w:rPr>
          <w:rFonts w:ascii="Arial" w:hAnsi="Arial" w:cs="Arial"/>
          <w:b/>
          <w:bCs/>
          <w:color w:val="000000" w:themeColor="text1"/>
          <w:sz w:val="20"/>
          <w:szCs w:val="20"/>
        </w:rPr>
        <w:fldChar w:fldCharType="end"/>
      </w:r>
      <w:r w:rsidRPr="0081375C">
        <w:rPr>
          <w:rFonts w:ascii="Arial" w:hAnsi="Arial" w:cs="Arial"/>
          <w:b/>
          <w:bCs/>
          <w:color w:val="000000" w:themeColor="text1"/>
          <w:sz w:val="20"/>
          <w:szCs w:val="20"/>
        </w:rPr>
        <w:t xml:space="preserve"> Cronograma para el pago</w:t>
      </w:r>
      <w:bookmarkEnd w:id="112"/>
    </w:p>
    <w:tbl>
      <w:tblPr>
        <w:tblW w:w="8626" w:type="dxa"/>
        <w:tblLayout w:type="fixed"/>
        <w:tblCellMar>
          <w:top w:w="100" w:type="dxa"/>
          <w:left w:w="100" w:type="dxa"/>
          <w:bottom w:w="100" w:type="dxa"/>
          <w:right w:w="100" w:type="dxa"/>
        </w:tblCellMar>
        <w:tblLook w:val="0600" w:firstRow="0" w:lastRow="0" w:firstColumn="0" w:lastColumn="0" w:noHBand="1" w:noVBand="1"/>
      </w:tblPr>
      <w:tblGrid>
        <w:gridCol w:w="5807"/>
        <w:gridCol w:w="2819"/>
      </w:tblGrid>
      <w:tr w:rsidR="00825D4D" w:rsidRPr="0081375C" w14:paraId="012BC0C0" w14:textId="77777777" w:rsidTr="003F5B87">
        <w:trPr>
          <w:trHeight w:val="20"/>
          <w:tblHeader/>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BCBE8A"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Actividad</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E69D42"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b/>
                <w:color w:val="000000" w:themeColor="text1"/>
                <w:sz w:val="20"/>
                <w:szCs w:val="20"/>
              </w:rPr>
              <w:t>Día hábil del ciclo</w:t>
            </w:r>
          </w:p>
        </w:tc>
      </w:tr>
      <w:tr w:rsidR="00825D4D" w:rsidRPr="0081375C" w14:paraId="2E7910C2" w14:textId="77777777" w:rsidTr="003F5B87">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8E3C14"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Verificación del listado de la documentación en las carpetas</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372D5"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 14</w:t>
            </w:r>
          </w:p>
        </w:tc>
      </w:tr>
      <w:tr w:rsidR="00825D4D" w:rsidRPr="0081375C" w14:paraId="1899E6D8" w14:textId="77777777" w:rsidTr="003F5B87">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849F99"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Cálculo del valor del incentivo por predio</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B9AAD"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Día 15</w:t>
            </w:r>
          </w:p>
        </w:tc>
      </w:tr>
      <w:tr w:rsidR="00825D4D" w:rsidRPr="0081375C" w14:paraId="406EBDD5" w14:textId="77777777" w:rsidTr="003F5B87">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39BA05" w14:textId="77777777" w:rsidR="00825D4D" w:rsidRPr="0081375C" w:rsidRDefault="00806784" w:rsidP="003F5B87">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Contabilización en la plataforma financiera</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22B95" w14:textId="77777777" w:rsidR="00825D4D" w:rsidRPr="0081375C" w:rsidRDefault="00806784" w:rsidP="003F5B87">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16–17</w:t>
            </w:r>
          </w:p>
        </w:tc>
      </w:tr>
      <w:tr w:rsidR="00825D4D" w:rsidRPr="0081375C" w14:paraId="1EA9B390" w14:textId="77777777" w:rsidTr="003F5B87">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571E3" w14:textId="77777777" w:rsidR="00825D4D" w:rsidRPr="0081375C" w:rsidRDefault="00806784" w:rsidP="003F5B87">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Revisión y aprobación de la supervisión</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F05AD" w14:textId="77777777" w:rsidR="00825D4D" w:rsidRPr="0081375C" w:rsidRDefault="00806784" w:rsidP="003F5B87">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Días 18–19</w:t>
            </w:r>
          </w:p>
        </w:tc>
      </w:tr>
      <w:tr w:rsidR="00825D4D" w:rsidRPr="0081375C" w14:paraId="6D39A781" w14:textId="77777777" w:rsidTr="003F5B87">
        <w:trPr>
          <w:trHeight w:val="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5A5C93" w14:textId="77777777" w:rsidR="00825D4D" w:rsidRPr="0081375C" w:rsidRDefault="00806784" w:rsidP="003F5B87">
            <w:pPr>
              <w:spacing w:line="23" w:lineRule="atLeast"/>
              <w:mirrorIndents/>
              <w:jc w:val="center"/>
              <w:rPr>
                <w:rFonts w:ascii="Arial" w:hAnsi="Arial" w:cs="Arial"/>
                <w:color w:val="000000" w:themeColor="text1"/>
                <w:sz w:val="20"/>
                <w:szCs w:val="20"/>
              </w:rPr>
            </w:pPr>
            <w:r w:rsidRPr="0081375C">
              <w:rPr>
                <w:rFonts w:ascii="Arial" w:eastAsia="Arial" w:hAnsi="Arial" w:cs="Arial"/>
                <w:color w:val="000000" w:themeColor="text1"/>
                <w:sz w:val="20"/>
                <w:szCs w:val="20"/>
              </w:rPr>
              <w:t>Radicación del oficio en la fiducia</w:t>
            </w:r>
          </w:p>
        </w:tc>
        <w:tc>
          <w:tcPr>
            <w:tcW w:w="2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E5541" w14:textId="77777777" w:rsidR="00825D4D" w:rsidRPr="0081375C" w:rsidRDefault="00806784" w:rsidP="003F5B87">
            <w:pPr>
              <w:spacing w:line="23" w:lineRule="atLeast"/>
              <w:mirrorIndents/>
              <w:jc w:val="center"/>
              <w:rPr>
                <w:rFonts w:ascii="Arial" w:eastAsia="Arial" w:hAnsi="Arial" w:cs="Arial"/>
                <w:color w:val="000000" w:themeColor="text1"/>
                <w:sz w:val="20"/>
                <w:szCs w:val="20"/>
              </w:rPr>
            </w:pPr>
            <w:r w:rsidRPr="0081375C">
              <w:rPr>
                <w:rFonts w:ascii="Arial" w:eastAsia="Arial" w:hAnsi="Arial" w:cs="Arial"/>
                <w:color w:val="000000" w:themeColor="text1"/>
                <w:sz w:val="20"/>
                <w:szCs w:val="20"/>
              </w:rPr>
              <w:t>Día 20</w:t>
            </w:r>
          </w:p>
        </w:tc>
      </w:tr>
    </w:tbl>
    <w:p w14:paraId="124ECE32" w14:textId="77777777" w:rsidR="007C4828" w:rsidRPr="0081375C" w:rsidRDefault="007C4828" w:rsidP="003F6B53">
      <w:pPr>
        <w:spacing w:line="23" w:lineRule="atLeast"/>
        <w:jc w:val="both"/>
        <w:rPr>
          <w:rFonts w:ascii="Arial" w:eastAsia="Arial" w:hAnsi="Arial" w:cs="Arial"/>
          <w:color w:val="000000" w:themeColor="text1"/>
        </w:rPr>
      </w:pPr>
    </w:p>
    <w:p w14:paraId="2D2C673C" w14:textId="20CEE8D5"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El historial de pagos archivado en los expedientes es evidencia financiera del esquema para auditorías, reportes ante autoridades ambientales y evaluación en el bloque 3. El total anual desembolsado alimenta el reporte de seguimiento ante la autoridad ambiental. El registro de fecha de pago efectivo en el </w:t>
      </w:r>
      <w:r w:rsidR="00280E96" w:rsidRPr="0081375C">
        <w:rPr>
          <w:rFonts w:ascii="Arial" w:eastAsia="Arial" w:hAnsi="Arial" w:cs="Arial"/>
          <w:b/>
          <w:bCs/>
          <w:i/>
          <w:iCs/>
          <w:color w:val="000000" w:themeColor="text1"/>
        </w:rPr>
        <w:t>FO-GEAM Informe de Seguimiento por Pago de Servicios Ambientales</w:t>
      </w:r>
      <w:r w:rsidR="00280E96" w:rsidRPr="0081375C">
        <w:rPr>
          <w:rFonts w:ascii="Arial" w:eastAsia="Arial" w:hAnsi="Arial" w:cs="Arial"/>
          <w:color w:val="000000" w:themeColor="text1"/>
        </w:rPr>
        <w:t xml:space="preserve"> </w:t>
      </w:r>
      <w:r w:rsidRPr="0081375C">
        <w:rPr>
          <w:rFonts w:ascii="Arial" w:eastAsia="Arial" w:hAnsi="Arial" w:cs="Arial"/>
          <w:color w:val="000000" w:themeColor="text1"/>
        </w:rPr>
        <w:t>es el único campo que se actualiza sobre un informe ya aprobado y archivado; debe quedar registrado en el mismo expediente del predio.</w:t>
      </w:r>
    </w:p>
    <w:p w14:paraId="64E334A4" w14:textId="66215E37" w:rsidR="007C4828" w:rsidRPr="0081375C" w:rsidRDefault="00C74ABE" w:rsidP="003F6B53">
      <w:pPr>
        <w:spacing w:line="23" w:lineRule="atLeast"/>
        <w:jc w:val="both"/>
        <w:rPr>
          <w:rFonts w:ascii="Arial" w:eastAsia="Aptos" w:hAnsi="Arial" w:cs="Arial"/>
          <w:color w:val="000000" w:themeColor="text1"/>
        </w:rPr>
      </w:pPr>
      <w:r w:rsidRPr="0081375C">
        <w:rPr>
          <w:rFonts w:ascii="Arial" w:eastAsia="Arial" w:hAnsi="Arial" w:cs="Arial"/>
          <w:color w:val="000000" w:themeColor="text1"/>
        </w:rPr>
        <w:lastRenderedPageBreak/>
        <w:t>Todo desembolso no ejecutado en el ciclo se traslada al ciclo mensual siguiente e ingresa al proceso de pago de ese ciclo como si fuera un desembolso nuevo. El diferimiento puede extenderse por ciclos sucesivos y el valor del pago será por la totalidad de meses que presentan validación jurídica y de campo, sin importar que la fecha del desembolso se realice en un ciclo posterior.</w:t>
      </w:r>
    </w:p>
    <w:p w14:paraId="3BA41E0F" w14:textId="77777777" w:rsidR="006A1754" w:rsidRPr="0081375C" w:rsidRDefault="006A1754" w:rsidP="003F6B53">
      <w:pPr>
        <w:spacing w:line="23" w:lineRule="atLeast"/>
        <w:jc w:val="both"/>
        <w:rPr>
          <w:rFonts w:ascii="Arial" w:eastAsia="Aptos" w:hAnsi="Arial" w:cs="Arial"/>
          <w:color w:val="000000" w:themeColor="text1"/>
        </w:rPr>
      </w:pPr>
    </w:p>
    <w:p w14:paraId="3E7F554B" w14:textId="06D54012" w:rsidR="007C4828" w:rsidRPr="0081375C" w:rsidRDefault="00806784" w:rsidP="003F6B53">
      <w:pPr>
        <w:spacing w:line="23" w:lineRule="atLeast"/>
        <w:jc w:val="both"/>
        <w:rPr>
          <w:rFonts w:ascii="Arial" w:eastAsia="Arial" w:hAnsi="Arial" w:cs="Arial"/>
          <w:b/>
          <w:bCs/>
          <w:color w:val="000000" w:themeColor="text1"/>
        </w:rPr>
      </w:pPr>
      <w:r w:rsidRPr="0081375C">
        <w:rPr>
          <w:rFonts w:ascii="Arial" w:eastAsia="Arial" w:hAnsi="Arial" w:cs="Arial"/>
          <w:b/>
          <w:bCs/>
          <w:color w:val="000000" w:themeColor="text1"/>
        </w:rPr>
        <w:t>Retenciones</w:t>
      </w:r>
    </w:p>
    <w:p w14:paraId="46C095E4" w14:textId="77777777" w:rsidR="007C4828" w:rsidRPr="0081375C" w:rsidRDefault="007C4828" w:rsidP="003F6B53">
      <w:pPr>
        <w:spacing w:line="23" w:lineRule="atLeast"/>
        <w:jc w:val="both"/>
        <w:rPr>
          <w:rFonts w:ascii="Arial" w:eastAsia="Arial" w:hAnsi="Arial" w:cs="Arial"/>
          <w:b/>
          <w:bCs/>
          <w:color w:val="000000" w:themeColor="text1"/>
        </w:rPr>
      </w:pPr>
    </w:p>
    <w:p w14:paraId="554D3298" w14:textId="65433147" w:rsidR="00825D4D" w:rsidRPr="0081375C" w:rsidRDefault="00825D4D" w:rsidP="003F6B53">
      <w:pPr>
        <w:spacing w:line="23" w:lineRule="atLeast"/>
        <w:jc w:val="both"/>
        <w:rPr>
          <w:rFonts w:ascii="Arial" w:hAnsi="Arial" w:cs="Arial"/>
          <w:color w:val="000000" w:themeColor="text1"/>
        </w:rPr>
      </w:pPr>
      <w:r w:rsidRPr="0081375C">
        <w:rPr>
          <w:rFonts w:ascii="Arial" w:hAnsi="Arial" w:cs="Arial"/>
          <w:color w:val="000000" w:themeColor="text1"/>
        </w:rPr>
        <w:t>Los incentivos económicos otorgados en el marco de los Pagos por Servicios Ambientales (PSA) están sujetos a las retenciones y gravámenes tributarios aplicables conforme a la normativa vigente.</w:t>
      </w:r>
    </w:p>
    <w:p w14:paraId="20937C31" w14:textId="77777777" w:rsidR="007C4828" w:rsidRPr="0081375C" w:rsidRDefault="007C4828" w:rsidP="003F6B53">
      <w:pPr>
        <w:spacing w:line="23" w:lineRule="atLeast"/>
        <w:jc w:val="both"/>
        <w:rPr>
          <w:rFonts w:ascii="Arial" w:hAnsi="Arial" w:cs="Arial"/>
          <w:color w:val="000000" w:themeColor="text1"/>
        </w:rPr>
      </w:pPr>
    </w:p>
    <w:p w14:paraId="0D9AD88C"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De acuerdo con el tratamiento tributario establecido por la Dirección de Impuestos y Aduanas Nacionales (DIAN), los pagos derivados de los esquemas de PSA no cuentan con un tratamiento especial como ingresos no constitutivos de renta ni ganancia ocasional. En consecuencia, dichos pagos se encuentran sujetos a retención en la fuente a título de servicios, siempre que quien efectúe el pago tenga la calidad de agente retenedor conforme a las disposiciones tributarias aplicables.</w:t>
      </w:r>
    </w:p>
    <w:p w14:paraId="6690427F" w14:textId="77777777" w:rsidR="007C4828" w:rsidRPr="0081375C" w:rsidRDefault="007C4828" w:rsidP="003F6B53">
      <w:pPr>
        <w:spacing w:line="23" w:lineRule="atLeast"/>
        <w:jc w:val="both"/>
        <w:rPr>
          <w:rFonts w:ascii="Arial" w:hAnsi="Arial" w:cs="Arial"/>
          <w:color w:val="000000" w:themeColor="text1"/>
        </w:rPr>
      </w:pPr>
    </w:p>
    <w:p w14:paraId="20FB82F9" w14:textId="77777777" w:rsidR="00825D4D" w:rsidRPr="0081375C" w:rsidRDefault="00806784" w:rsidP="003F6B53">
      <w:pPr>
        <w:spacing w:line="23" w:lineRule="atLeast"/>
        <w:jc w:val="both"/>
        <w:rPr>
          <w:rFonts w:ascii="Arial" w:hAnsi="Arial" w:cs="Arial"/>
          <w:color w:val="000000" w:themeColor="text1"/>
        </w:rPr>
      </w:pPr>
      <w:r w:rsidRPr="0081375C">
        <w:rPr>
          <w:rFonts w:ascii="Arial" w:hAnsi="Arial" w:cs="Arial"/>
          <w:color w:val="000000" w:themeColor="text1"/>
        </w:rPr>
        <w:t>Esta retención deberá practicarse en el momento del pago o abono en cuenta, según corresponda, de acuerdo con las tarifas y condiciones establecidas por la normativa tributaria vigente.</w:t>
      </w:r>
    </w:p>
    <w:p w14:paraId="7963FDE2" w14:textId="77777777" w:rsidR="007C4828" w:rsidRPr="0081375C" w:rsidRDefault="007C4828" w:rsidP="003F6B53">
      <w:pPr>
        <w:spacing w:line="23" w:lineRule="atLeast"/>
        <w:jc w:val="both"/>
        <w:rPr>
          <w:rFonts w:ascii="Arial" w:hAnsi="Arial" w:cs="Arial"/>
          <w:color w:val="000000" w:themeColor="text1"/>
        </w:rPr>
      </w:pPr>
    </w:p>
    <w:p w14:paraId="7DDE8D5C" w14:textId="0A985F3F"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113" w:name="_Toc232154422"/>
      <w:bookmarkStart w:id="114" w:name="_Toc233304206"/>
      <w:r w:rsidRPr="0081375C">
        <w:rPr>
          <w:color w:val="000000" w:themeColor="text1"/>
          <w:lang w:val="es-CO"/>
        </w:rPr>
        <w:t xml:space="preserve">Registro de </w:t>
      </w:r>
      <w:r w:rsidR="003F5B87" w:rsidRPr="0081375C">
        <w:rPr>
          <w:color w:val="000000" w:themeColor="text1"/>
          <w:lang w:val="es-CO"/>
        </w:rPr>
        <w:t>P</w:t>
      </w:r>
      <w:r w:rsidRPr="0081375C">
        <w:rPr>
          <w:color w:val="000000" w:themeColor="text1"/>
          <w:lang w:val="es-CO"/>
        </w:rPr>
        <w:t xml:space="preserve">redios ante </w:t>
      </w:r>
      <w:r w:rsidR="003F5B87" w:rsidRPr="0081375C">
        <w:rPr>
          <w:color w:val="000000" w:themeColor="text1"/>
          <w:lang w:val="es-CO"/>
        </w:rPr>
        <w:t>A</w:t>
      </w:r>
      <w:r w:rsidRPr="0081375C">
        <w:rPr>
          <w:color w:val="000000" w:themeColor="text1"/>
          <w:lang w:val="es-CO"/>
        </w:rPr>
        <w:t xml:space="preserve">utoridad </w:t>
      </w:r>
      <w:r w:rsidR="003F5B87" w:rsidRPr="0081375C">
        <w:rPr>
          <w:color w:val="000000" w:themeColor="text1"/>
          <w:lang w:val="es-CO"/>
        </w:rPr>
        <w:t>A</w:t>
      </w:r>
      <w:r w:rsidRPr="0081375C">
        <w:rPr>
          <w:color w:val="000000" w:themeColor="text1"/>
          <w:lang w:val="es-CO"/>
        </w:rPr>
        <w:t>mbiental</w:t>
      </w:r>
      <w:bookmarkEnd w:id="113"/>
      <w:bookmarkEnd w:id="114"/>
    </w:p>
    <w:p w14:paraId="52BFDFB4" w14:textId="77777777" w:rsidR="007C4828" w:rsidRPr="0081375C" w:rsidRDefault="007C4828" w:rsidP="007C4828">
      <w:pPr>
        <w:rPr>
          <w:rFonts w:ascii="Arial" w:hAnsi="Arial" w:cs="Arial"/>
        </w:rPr>
      </w:pPr>
    </w:p>
    <w:p w14:paraId="42520875"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registro ante la autoridad ambiental es una obligación del implementador del esquema, no del participante individual. Se ejecuta en dos momentos: un registro inicial al arrancar el proyecto y reportes anuales de seguimiento durante toda su vigencia.</w:t>
      </w:r>
    </w:p>
    <w:p w14:paraId="4EE50A41" w14:textId="77777777" w:rsidR="007C4828" w:rsidRPr="0081375C" w:rsidRDefault="007C4828" w:rsidP="003F6B53">
      <w:pPr>
        <w:spacing w:line="23" w:lineRule="atLeast"/>
        <w:jc w:val="both"/>
        <w:rPr>
          <w:rFonts w:ascii="Arial" w:eastAsia="Aptos" w:hAnsi="Arial" w:cs="Arial"/>
          <w:color w:val="000000" w:themeColor="text1"/>
        </w:rPr>
      </w:pPr>
    </w:p>
    <w:p w14:paraId="13D46E90" w14:textId="7EA2EBC2"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registro inicial debe realizarse antes o inmediatamente después de la firma del primer acuerdo de pago. Se consolida la información requerida por el Art. 2.2.9.8.2. del Decreto 1076 de 2015 (</w:t>
      </w:r>
      <w:r w:rsidR="005D0DB2" w:rsidRPr="0081375C">
        <w:rPr>
          <w:rFonts w:ascii="Arial" w:eastAsia="Arial" w:hAnsi="Arial" w:cs="Arial"/>
          <w:color w:val="000000" w:themeColor="text1"/>
        </w:rPr>
        <w:t>modificado por</w:t>
      </w:r>
      <w:r w:rsidRPr="0081375C">
        <w:rPr>
          <w:rFonts w:ascii="Arial" w:eastAsia="Arial" w:hAnsi="Arial" w:cs="Arial"/>
          <w:color w:val="000000" w:themeColor="text1"/>
        </w:rPr>
        <w:t xml:space="preserve"> el Decreto 1007 de 2018): nombre y tipo del proyecto (voluntario o en cumplimiento de obligaciones ambientales), entidad implementadora, fuentes financiadoras, modalidad PSA, beneficiarios directos de los servicios ambientales, localización (área y ecosistema estratégico, departamento, municipios, vereda), áreas totales en preservación y restauración, valor del incentivo, información de predios seleccionados (CBML, dirección, folio de matrícula inmobiliaria, escritura pública, número de familias, término de duración), gastos asociados y autoridad ambiental competente. El registro se presenta ante la autoridad ambiental de la jurisdicción donde está ubicado el ecosistema estratégico; para el esquema PSA del Distrito de Medellín esa autoridad es Corantioquia. Se archiva el radicado o constancia de registro en el expediente del proyecto.</w:t>
      </w:r>
    </w:p>
    <w:p w14:paraId="4F6C4C5C" w14:textId="77777777" w:rsidR="007C4828" w:rsidRPr="0081375C" w:rsidRDefault="007C4828" w:rsidP="003F6B53">
      <w:pPr>
        <w:spacing w:line="23" w:lineRule="atLeast"/>
        <w:jc w:val="both"/>
        <w:rPr>
          <w:rFonts w:ascii="Arial" w:eastAsia="Aptos" w:hAnsi="Arial" w:cs="Arial"/>
          <w:color w:val="000000" w:themeColor="text1"/>
        </w:rPr>
      </w:pPr>
    </w:p>
    <w:p w14:paraId="00EE89B1" w14:textId="0976A236" w:rsidR="00825D4D" w:rsidRPr="0081375C" w:rsidRDefault="00825D4D"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 xml:space="preserve">Los reportes anuales de seguimiento se presentan con corte al 31 de diciembre de cada año, ante la misma autoridad ambiental, conforme a los lineamientos del Ministerio de Ambiente y Desarrollo Sostenible vigentes al momento del reporte. Estos lineamientos especifican el formato y la plataforma de entrega; deben consultarse antes de cada reporte porque pueden actualizarse. La autoridad ambiental consolida y remite la información al Ministerio a más tardar el 31 de marzo del año siguiente; esa acción es responsabilidad de la autoridad, no del implementador. Se archiva la constancia de presentación de cada reporte en el expediente. </w:t>
      </w:r>
    </w:p>
    <w:p w14:paraId="6E24E779" w14:textId="77777777" w:rsidR="007C4828" w:rsidRPr="0081375C" w:rsidRDefault="007C4828" w:rsidP="003F6B53">
      <w:pPr>
        <w:spacing w:line="23" w:lineRule="atLeast"/>
        <w:jc w:val="both"/>
        <w:rPr>
          <w:rFonts w:ascii="Arial" w:eastAsia="Arial" w:hAnsi="Arial" w:cs="Arial"/>
          <w:color w:val="000000" w:themeColor="text1"/>
        </w:rPr>
      </w:pPr>
    </w:p>
    <w:p w14:paraId="5A250239"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Cuando durante el año han ingresado predios nuevos o han ocurrido modificaciones sustanciales al proyecto, el reporte incluye la información actualizada y se evalúa si se requiere modificación del registro inicial.</w:t>
      </w:r>
    </w:p>
    <w:p w14:paraId="23B6D4E4" w14:textId="77777777" w:rsidR="007C4828" w:rsidRPr="0081375C" w:rsidRDefault="007C4828" w:rsidP="003F6B53">
      <w:pPr>
        <w:spacing w:line="23" w:lineRule="atLeast"/>
        <w:jc w:val="both"/>
        <w:rPr>
          <w:rFonts w:ascii="Arial" w:eastAsia="Aptos" w:hAnsi="Arial" w:cs="Arial"/>
          <w:color w:val="000000" w:themeColor="text1"/>
        </w:rPr>
      </w:pPr>
    </w:p>
    <w:p w14:paraId="3719948E"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ausencia del registro inicial o el incumplimiento del reporte anual constituye infracción normativa con consecuencias sobre la continuidad del esquema. El reporte anual requiere información consolidada de seguimiento técnico y de monitoreo de servicios ecosistémicos con corte al 31 de diciembre; la disponibilidad de esa información en esa fecha es condición para el cumplimiento del plazo. El historial de registros y reportes anuales constituye evidencia auditable de cumplimiento normativo y alimenta la evaluación del diseño e implementación. La responsabilidad de mantener, validar y presentar la información necesaria para el reporte recae sobre el operador del proyecto.</w:t>
      </w:r>
    </w:p>
    <w:p w14:paraId="55676983" w14:textId="47EE7588" w:rsidR="00365139" w:rsidRPr="0081375C" w:rsidRDefault="00365139">
      <w:pPr>
        <w:rPr>
          <w:rFonts w:ascii="Arial" w:eastAsia="Arial" w:hAnsi="Arial" w:cs="Arial"/>
          <w:color w:val="000000" w:themeColor="text1"/>
        </w:rPr>
      </w:pPr>
    </w:p>
    <w:p w14:paraId="18665C69" w14:textId="77777777" w:rsidR="00825D4D" w:rsidRPr="0081375C" w:rsidRDefault="00806784" w:rsidP="0070084E">
      <w:pPr>
        <w:pStyle w:val="Ttulo2"/>
        <w:numPr>
          <w:ilvl w:val="1"/>
          <w:numId w:val="27"/>
        </w:numPr>
        <w:spacing w:before="0" w:line="23" w:lineRule="atLeast"/>
        <w:rPr>
          <w:rFonts w:ascii="Arial" w:eastAsia="Aptos" w:hAnsi="Arial" w:cs="Arial"/>
          <w:color w:val="000000" w:themeColor="text1"/>
        </w:rPr>
      </w:pPr>
      <w:bookmarkStart w:id="115" w:name="_Toc232154423"/>
      <w:bookmarkStart w:id="116" w:name="_Toc233304207"/>
      <w:r w:rsidRPr="0081375C">
        <w:rPr>
          <w:rFonts w:ascii="Arial" w:eastAsia="Aptos" w:hAnsi="Arial" w:cs="Arial"/>
          <w:color w:val="000000" w:themeColor="text1"/>
        </w:rPr>
        <w:t>Seguimiento y evaluación de proyectos de Pago por Servicios Ambientales</w:t>
      </w:r>
      <w:bookmarkEnd w:id="115"/>
      <w:bookmarkEnd w:id="116"/>
    </w:p>
    <w:p w14:paraId="47D53F33" w14:textId="77777777" w:rsidR="007C4828" w:rsidRPr="0081375C" w:rsidRDefault="007C4828" w:rsidP="007C4828">
      <w:pPr>
        <w:rPr>
          <w:rFonts w:ascii="Arial" w:hAnsi="Arial" w:cs="Arial"/>
        </w:rPr>
      </w:pPr>
    </w:p>
    <w:p w14:paraId="0DB597FC"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componente de seguimiento y evaluación determina si el esquema PSA produce los efectos esperados sobre los servicios ecosistémicos y sobre el comportamiento de los beneficiarios. Se plantea como un diseño de evaluación basado en teoría, estructurado sobre la cadena causal del esquema: la secuencia que va de lo que el esquema hace, a los resultados territoriales que produce y, finalmente, a los servicios ecosistémicos que constituyen su impacto.</w:t>
      </w:r>
    </w:p>
    <w:p w14:paraId="2AD000E7" w14:textId="77777777" w:rsidR="00631BF7" w:rsidRPr="0081375C" w:rsidRDefault="00631BF7" w:rsidP="003F6B53">
      <w:pPr>
        <w:spacing w:line="23" w:lineRule="atLeast"/>
        <w:jc w:val="both"/>
        <w:rPr>
          <w:rFonts w:ascii="Arial" w:hAnsi="Arial" w:cs="Arial"/>
          <w:color w:val="000000" w:themeColor="text1"/>
        </w:rPr>
      </w:pPr>
    </w:p>
    <w:p w14:paraId="0A945FAA" w14:textId="5409688E"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cadena enlaza tres niveles</w:t>
      </w:r>
      <w:r w:rsidR="3DF3D250" w:rsidRPr="0081375C">
        <w:rPr>
          <w:rFonts w:ascii="Arial" w:eastAsia="Arial" w:hAnsi="Arial" w:cs="Arial"/>
          <w:color w:val="000000" w:themeColor="text1"/>
        </w:rPr>
        <w:t>:</w:t>
      </w:r>
      <w:r w:rsidR="53ABCE9C" w:rsidRPr="0081375C">
        <w:rPr>
          <w:rFonts w:ascii="Arial" w:eastAsia="Arial" w:hAnsi="Arial" w:cs="Arial"/>
          <w:color w:val="000000" w:themeColor="text1"/>
        </w:rPr>
        <w:t xml:space="preserve"> </w:t>
      </w:r>
      <w:r w:rsidR="043A1297" w:rsidRPr="0081375C">
        <w:rPr>
          <w:rFonts w:ascii="Arial" w:eastAsia="Arial" w:hAnsi="Arial" w:cs="Arial"/>
          <w:color w:val="000000" w:themeColor="text1"/>
        </w:rPr>
        <w:t>1)</w:t>
      </w:r>
      <w:r w:rsidRPr="0081375C">
        <w:rPr>
          <w:rFonts w:ascii="Arial" w:eastAsia="Arial" w:hAnsi="Arial" w:cs="Arial"/>
          <w:color w:val="000000" w:themeColor="text1"/>
        </w:rPr>
        <w:t xml:space="preserve"> Las actividades habilitadoras son el pago del incentivo, el acompañamiento técnico, la formación, la priorización de predios, la convocatoria, la selección, la formalización y el seguimiento. </w:t>
      </w:r>
      <w:r w:rsidR="2AAC56D4" w:rsidRPr="0081375C">
        <w:rPr>
          <w:rFonts w:ascii="Arial" w:eastAsia="Arial" w:hAnsi="Arial" w:cs="Arial"/>
          <w:color w:val="000000" w:themeColor="text1"/>
        </w:rPr>
        <w:t xml:space="preserve">2) </w:t>
      </w:r>
      <w:r w:rsidRPr="0081375C">
        <w:rPr>
          <w:rFonts w:ascii="Arial" w:eastAsia="Arial" w:hAnsi="Arial" w:cs="Arial"/>
          <w:color w:val="000000" w:themeColor="text1"/>
        </w:rPr>
        <w:t xml:space="preserve">Los resultados son los efectos territoriales que esas actividades deben generar: conservar las coberturas existentes y restaurar las que se han perdido. </w:t>
      </w:r>
      <w:r w:rsidR="3B80EB94" w:rsidRPr="0081375C">
        <w:rPr>
          <w:rFonts w:ascii="Arial" w:eastAsia="Arial" w:hAnsi="Arial" w:cs="Arial"/>
          <w:color w:val="000000" w:themeColor="text1"/>
        </w:rPr>
        <w:t xml:space="preserve">3) </w:t>
      </w:r>
      <w:r w:rsidRPr="0081375C">
        <w:rPr>
          <w:rFonts w:ascii="Arial" w:eastAsia="Arial" w:hAnsi="Arial" w:cs="Arial"/>
          <w:color w:val="000000" w:themeColor="text1"/>
        </w:rPr>
        <w:t>El impacto es la provisión de servicios ecosistémicos, que depende del estado de las coberturas. Las actividades sostienen los resultados, y los resultados sostienen el impacto: sin actividades habilitadoras no hay resultados, y sin coberturas conservadas o restauradas no hay servicios.</w:t>
      </w:r>
    </w:p>
    <w:p w14:paraId="33CF85BF" w14:textId="77777777" w:rsidR="00631BF7" w:rsidRPr="0081375C" w:rsidRDefault="00631BF7" w:rsidP="003F6B53">
      <w:pPr>
        <w:spacing w:line="23" w:lineRule="atLeast"/>
        <w:jc w:val="both"/>
        <w:rPr>
          <w:rFonts w:ascii="Arial" w:hAnsi="Arial" w:cs="Arial"/>
          <w:color w:val="000000" w:themeColor="text1"/>
        </w:rPr>
      </w:pPr>
    </w:p>
    <w:p w14:paraId="7926AA50" w14:textId="3E9EEF4C"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Dos vínculos conectan estos niveles, y cada uno descansa en supuestos que la evaluación hace explícitos y comprueba. El primer vínculo une las actividades con los resultados mediante supuestos causales: las condiciones que deben cumplirse para que </w:t>
      </w:r>
      <w:r w:rsidRPr="0081375C">
        <w:rPr>
          <w:rFonts w:ascii="Arial" w:eastAsia="Arial" w:hAnsi="Arial" w:cs="Arial"/>
          <w:color w:val="000000" w:themeColor="text1"/>
        </w:rPr>
        <w:lastRenderedPageBreak/>
        <w:t>las actividades produzcan conservación y restauración, por ejemplo</w:t>
      </w:r>
      <w:r w:rsidR="00365139" w:rsidRPr="0081375C">
        <w:rPr>
          <w:rFonts w:ascii="Arial" w:eastAsia="Arial" w:hAnsi="Arial" w:cs="Arial"/>
          <w:color w:val="000000" w:themeColor="text1"/>
        </w:rPr>
        <w:t>,</w:t>
      </w:r>
      <w:r w:rsidRPr="0081375C">
        <w:rPr>
          <w:rFonts w:ascii="Arial" w:eastAsia="Arial" w:hAnsi="Arial" w:cs="Arial"/>
          <w:color w:val="000000" w:themeColor="text1"/>
        </w:rPr>
        <w:t xml:space="preserve"> que el beneficiario invierta el incentivo en conservación o que el acompañamiento técnico se traduzca en buenas prácticas. El segundo vínculo une los resultados con el impacto mediante supuestos biofísicos: el efecto que tienen las coberturas sobre la capacidad del ecosistema estratégico para proveer servicios. El monitoreo de servicios ecosistémicos verifica este segundo vínculo.</w:t>
      </w:r>
    </w:p>
    <w:p w14:paraId="3C2C280C" w14:textId="77777777" w:rsidR="00631BF7" w:rsidRPr="0081375C" w:rsidRDefault="00631BF7" w:rsidP="003F6B53">
      <w:pPr>
        <w:spacing w:line="23" w:lineRule="atLeast"/>
        <w:jc w:val="both"/>
        <w:rPr>
          <w:rFonts w:ascii="Arial" w:hAnsi="Arial" w:cs="Arial"/>
          <w:color w:val="000000" w:themeColor="text1"/>
        </w:rPr>
      </w:pPr>
    </w:p>
    <w:p w14:paraId="5B60A9AF" w14:textId="12ECBF68"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Sobre esta cadena operan dos modos de evaluación que comparten su estructura y se apoyan en un conjunto de mediciones de campo. La evaluación formativa vigila el primer vínculo: cada trimestre verifica los supuestos causales que unen las actividades con los resultados de conservación y restauración, clasifica su estado en un semáforo y </w:t>
      </w:r>
      <w:proofErr w:type="gramStart"/>
      <w:r w:rsidRPr="0081375C">
        <w:rPr>
          <w:rFonts w:ascii="Arial" w:eastAsia="Arial" w:hAnsi="Arial" w:cs="Arial"/>
          <w:color w:val="000000" w:themeColor="text1"/>
        </w:rPr>
        <w:t>activa correcciones</w:t>
      </w:r>
      <w:proofErr w:type="gramEnd"/>
      <w:r w:rsidRPr="0081375C">
        <w:rPr>
          <w:rFonts w:ascii="Arial" w:eastAsia="Arial" w:hAnsi="Arial" w:cs="Arial"/>
          <w:color w:val="000000" w:themeColor="text1"/>
        </w:rPr>
        <w:t>, y su revisión anual audita si las actividades se ejecutaron como se diseñó. La evaluación sumativa juzga el segundo vínculo: determina si las coberturas conservadas y restauradas se tradujeron en los servicios ecosistémicos esperados, y la supervisión emite el veredicto</w:t>
      </w:r>
      <w:r w:rsidR="53ABCE9C" w:rsidRPr="0081375C">
        <w:rPr>
          <w:rFonts w:ascii="Arial" w:eastAsia="Arial" w:hAnsi="Arial" w:cs="Arial"/>
          <w:color w:val="000000" w:themeColor="text1"/>
        </w:rPr>
        <w:t>.</w:t>
      </w:r>
      <w:r w:rsidR="35264361" w:rsidRPr="0081375C">
        <w:rPr>
          <w:rFonts w:ascii="Arial" w:eastAsia="Arial" w:hAnsi="Arial" w:cs="Arial"/>
          <w:color w:val="000000" w:themeColor="text1"/>
        </w:rPr>
        <w:t xml:space="preserve"> Inicialmente la evaluación que se aplicará en PSA es la evaluación sumativa.</w:t>
      </w:r>
    </w:p>
    <w:p w14:paraId="4E0CF761" w14:textId="77777777" w:rsidR="00631BF7" w:rsidRPr="0081375C" w:rsidRDefault="00631BF7" w:rsidP="003F6B53">
      <w:pPr>
        <w:spacing w:line="23" w:lineRule="atLeast"/>
        <w:jc w:val="both"/>
        <w:rPr>
          <w:rFonts w:ascii="Arial" w:hAnsi="Arial" w:cs="Arial"/>
          <w:color w:val="000000" w:themeColor="text1"/>
        </w:rPr>
      </w:pPr>
    </w:p>
    <w:p w14:paraId="265A8AB3"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responsabilidad se reparte según la función: el operador produce la evidencia sin juzgar la efectividad, y la supervisión, independiente del operador, emite los juicios sumativos y la evaluación del diseño. Cada subsección presenta primero el marco general y luego su aplicación al esquema PSA del Distrito de Medellín.</w:t>
      </w:r>
    </w:p>
    <w:p w14:paraId="37FBC4F7" w14:textId="57CB6C4D" w:rsidR="729FED67" w:rsidRPr="0081375C" w:rsidRDefault="729FED67" w:rsidP="729FED67">
      <w:pPr>
        <w:spacing w:line="23" w:lineRule="atLeast"/>
        <w:jc w:val="both"/>
        <w:rPr>
          <w:rFonts w:ascii="Arial" w:eastAsia="Arial" w:hAnsi="Arial" w:cs="Arial"/>
          <w:color w:val="000000" w:themeColor="text1"/>
        </w:rPr>
      </w:pPr>
    </w:p>
    <w:p w14:paraId="267A6B3E" w14:textId="77777777" w:rsidR="00631BF7" w:rsidRPr="0081375C" w:rsidRDefault="00631BF7" w:rsidP="003F6B53">
      <w:pPr>
        <w:spacing w:line="23" w:lineRule="atLeast"/>
        <w:jc w:val="both"/>
        <w:rPr>
          <w:rFonts w:ascii="Arial" w:hAnsi="Arial" w:cs="Arial"/>
          <w:color w:val="000000" w:themeColor="text1"/>
        </w:rPr>
      </w:pPr>
    </w:p>
    <w:p w14:paraId="41F6476C" w14:textId="3BC099D1"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117" w:name="_Toc232154424"/>
      <w:bookmarkStart w:id="118" w:name="_Toc233304208"/>
      <w:r w:rsidRPr="0081375C">
        <w:rPr>
          <w:color w:val="000000" w:themeColor="text1"/>
          <w:lang w:val="es-CO"/>
        </w:rPr>
        <w:t xml:space="preserve">Teoría del </w:t>
      </w:r>
      <w:r w:rsidR="00F812ED" w:rsidRPr="0081375C">
        <w:rPr>
          <w:color w:val="000000" w:themeColor="text1"/>
          <w:lang w:val="es-CO"/>
        </w:rPr>
        <w:t>C</w:t>
      </w:r>
      <w:r w:rsidRPr="0081375C">
        <w:rPr>
          <w:color w:val="000000" w:themeColor="text1"/>
          <w:lang w:val="es-CO"/>
        </w:rPr>
        <w:t xml:space="preserve">ambio para la </w:t>
      </w:r>
      <w:r w:rsidR="00F812ED" w:rsidRPr="0081375C">
        <w:rPr>
          <w:color w:val="000000" w:themeColor="text1"/>
          <w:lang w:val="es-CO"/>
        </w:rPr>
        <w:t>E</w:t>
      </w:r>
      <w:r w:rsidRPr="0081375C">
        <w:rPr>
          <w:color w:val="000000" w:themeColor="text1"/>
          <w:lang w:val="es-CO"/>
        </w:rPr>
        <w:t>valuación</w:t>
      </w:r>
      <w:bookmarkEnd w:id="117"/>
      <w:bookmarkEnd w:id="118"/>
    </w:p>
    <w:p w14:paraId="26C34229" w14:textId="77777777" w:rsidR="00631BF7" w:rsidRPr="0081375C" w:rsidRDefault="00631BF7" w:rsidP="00631BF7">
      <w:pPr>
        <w:rPr>
          <w:rFonts w:ascii="Arial" w:hAnsi="Arial" w:cs="Arial"/>
        </w:rPr>
      </w:pPr>
    </w:p>
    <w:p w14:paraId="5A336924" w14:textId="3D0FAF69"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esquema produce datos continuamente: conceptos jurídicos, informes técnicos, registros de coberturas, inventarios de flora y fauna, avances en buenas prácticas y comprobantes de pago. Esos datos no producen juicios; solo se vuelven evidencia cuando se interpretan contra un referente que fija qué se esperaba, en qué condiciones y con qué criterios. La teoría del cambio es ese referente. Sin ella, los tres componentes restantes no tienen marco interpretativo y no operan.</w:t>
      </w:r>
    </w:p>
    <w:p w14:paraId="17B5C03E" w14:textId="5D2960F1" w:rsidR="00631BF7" w:rsidRPr="0081375C" w:rsidRDefault="00631BF7" w:rsidP="003F6B53">
      <w:pPr>
        <w:spacing w:line="23" w:lineRule="atLeast"/>
        <w:jc w:val="both"/>
        <w:rPr>
          <w:rFonts w:ascii="Arial" w:eastAsia="Arial" w:hAnsi="Arial" w:cs="Arial"/>
          <w:color w:val="000000" w:themeColor="text1"/>
        </w:rPr>
      </w:pPr>
    </w:p>
    <w:p w14:paraId="005885F6" w14:textId="0B6A7064" w:rsidR="00825D4D" w:rsidRPr="0081375C" w:rsidRDefault="00806784" w:rsidP="00B9105C">
      <w:pPr>
        <w:pStyle w:val="Default"/>
        <w:rPr>
          <w:rFonts w:eastAsia="Arial"/>
          <w:b/>
          <w:bCs/>
          <w:sz w:val="22"/>
          <w:szCs w:val="22"/>
        </w:rPr>
      </w:pPr>
      <w:r w:rsidRPr="0081375C">
        <w:rPr>
          <w:b/>
          <w:bCs/>
          <w:sz w:val="22"/>
          <w:szCs w:val="22"/>
        </w:rPr>
        <w:t xml:space="preserve">Aplicación al </w:t>
      </w:r>
      <w:r w:rsidR="00F812ED" w:rsidRPr="0081375C">
        <w:rPr>
          <w:b/>
          <w:bCs/>
          <w:sz w:val="22"/>
          <w:szCs w:val="22"/>
        </w:rPr>
        <w:t>E</w:t>
      </w:r>
      <w:r w:rsidRPr="0081375C">
        <w:rPr>
          <w:b/>
          <w:bCs/>
          <w:sz w:val="22"/>
          <w:szCs w:val="22"/>
        </w:rPr>
        <w:t>squema PSA del Distrito de Medellín</w:t>
      </w:r>
    </w:p>
    <w:p w14:paraId="17BA00E9" w14:textId="77777777" w:rsidR="00631BF7" w:rsidRPr="0081375C" w:rsidRDefault="00631BF7" w:rsidP="00631BF7">
      <w:pPr>
        <w:rPr>
          <w:rFonts w:ascii="Arial" w:eastAsia="Arial" w:hAnsi="Arial" w:cs="Arial"/>
          <w:b/>
          <w:color w:val="000000" w:themeColor="text1"/>
        </w:rPr>
      </w:pPr>
    </w:p>
    <w:p w14:paraId="33CC9B4C" w14:textId="05B76EE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Problema, causas y consecuencias.</w:t>
      </w:r>
      <w:r w:rsidRPr="0081375C">
        <w:rPr>
          <w:rFonts w:ascii="Arial" w:eastAsia="Arial" w:hAnsi="Arial" w:cs="Arial"/>
          <w:color w:val="000000" w:themeColor="text1"/>
        </w:rPr>
        <w:t xml:space="preserve"> La pérdida de coberturas boscosas en predios estratégicos requiere conservación permanente. La evaluación verifica si la provisión de servicios ecosistémicos se sostiene, no si se alcanza un estado final. </w:t>
      </w:r>
    </w:p>
    <w:p w14:paraId="0EEF7DE6" w14:textId="77777777" w:rsidR="00631BF7" w:rsidRPr="0081375C" w:rsidRDefault="00631BF7" w:rsidP="003F6B53">
      <w:pPr>
        <w:spacing w:line="23" w:lineRule="atLeast"/>
        <w:jc w:val="both"/>
        <w:rPr>
          <w:rFonts w:ascii="Arial" w:eastAsia="Arial" w:hAnsi="Arial" w:cs="Arial"/>
          <w:color w:val="000000" w:themeColor="text1"/>
        </w:rPr>
      </w:pPr>
    </w:p>
    <w:p w14:paraId="4B6E7AC4"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Cadena causal.</w:t>
      </w:r>
      <w:r w:rsidRPr="0081375C">
        <w:rPr>
          <w:rFonts w:ascii="Arial" w:eastAsia="Arial" w:hAnsi="Arial" w:cs="Arial"/>
          <w:color w:val="000000" w:themeColor="text1"/>
        </w:rPr>
        <w:t xml:space="preserve"> Los resultados tienen dos eslabones que conectan con el objetivo: conservar las coberturas existentes y restaurar las comprometidas. Las actividades habilitadoras son las que los alimentan. El supuesto central es que las habilitadoras, bien operadas y con los supuestos comportamentales cumplidos, sostienen la conservación activa de coberturas.</w:t>
      </w:r>
    </w:p>
    <w:p w14:paraId="1DF91BC7" w14:textId="0601030F" w:rsidR="729FED67" w:rsidRPr="0081375C" w:rsidRDefault="729FED67" w:rsidP="729FED67">
      <w:pPr>
        <w:spacing w:line="23" w:lineRule="atLeast"/>
        <w:jc w:val="both"/>
        <w:rPr>
          <w:rFonts w:ascii="Arial" w:eastAsia="Arial" w:hAnsi="Arial" w:cs="Arial"/>
          <w:color w:val="000000" w:themeColor="text1"/>
        </w:rPr>
      </w:pPr>
    </w:p>
    <w:p w14:paraId="677DCD64" w14:textId="50132219" w:rsidR="4E36A4C6" w:rsidRPr="0081375C" w:rsidRDefault="4E36A4C6" w:rsidP="729FED67">
      <w:pPr>
        <w:spacing w:line="23" w:lineRule="atLeast"/>
        <w:jc w:val="both"/>
        <w:rPr>
          <w:rFonts w:ascii="Arial" w:eastAsia="Arial" w:hAnsi="Arial" w:cs="Arial"/>
          <w:color w:val="000000" w:themeColor="text1"/>
        </w:rPr>
      </w:pPr>
      <w:r w:rsidRPr="0081375C">
        <w:rPr>
          <w:noProof/>
        </w:rPr>
        <w:drawing>
          <wp:inline distT="0" distB="0" distL="0" distR="0" wp14:anchorId="40AD886C" wp14:editId="0361383C">
            <wp:extent cx="5505450" cy="1266825"/>
            <wp:effectExtent l="0" t="0" r="0" b="0"/>
            <wp:docPr id="790460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60381" name="Picture 790460381"/>
                    <pic:cNvPicPr/>
                  </pic:nvPicPr>
                  <pic:blipFill>
                    <a:blip r:embed="rId22">
                      <a:extLst>
                        <a:ext uri="{28A0092B-C50C-407E-A947-70E740481C1C}">
                          <a14:useLocalDpi xmlns:a14="http://schemas.microsoft.com/office/drawing/2010/main"/>
                        </a:ext>
                      </a:extLst>
                    </a:blip>
                    <a:stretch>
                      <a:fillRect/>
                    </a:stretch>
                  </pic:blipFill>
                  <pic:spPr>
                    <a:xfrm>
                      <a:off x="0" y="0"/>
                      <a:ext cx="5505450" cy="1266825"/>
                    </a:xfrm>
                    <a:prstGeom prst="rect">
                      <a:avLst/>
                    </a:prstGeom>
                  </pic:spPr>
                </pic:pic>
              </a:graphicData>
            </a:graphic>
          </wp:inline>
        </w:drawing>
      </w:r>
    </w:p>
    <w:p w14:paraId="4632BC1B" w14:textId="77777777" w:rsidR="00631BF7" w:rsidRPr="0081375C" w:rsidRDefault="00631BF7" w:rsidP="003F6B53">
      <w:pPr>
        <w:spacing w:line="23" w:lineRule="atLeast"/>
        <w:jc w:val="both"/>
        <w:rPr>
          <w:rFonts w:ascii="Arial" w:eastAsia="Arial" w:hAnsi="Arial" w:cs="Arial"/>
          <w:color w:val="000000" w:themeColor="text1"/>
        </w:rPr>
      </w:pPr>
    </w:p>
    <w:p w14:paraId="0D351BF9" w14:textId="3BB803DD" w:rsidR="00825D4D" w:rsidRPr="0081375C" w:rsidRDefault="00806784" w:rsidP="00631BF7">
      <w:pPr>
        <w:pStyle w:val="Descripcin"/>
        <w:spacing w:after="0" w:line="23" w:lineRule="atLeast"/>
        <w:jc w:val="center"/>
        <w:rPr>
          <w:rFonts w:ascii="Arial" w:hAnsi="Arial" w:cs="Arial"/>
          <w:b/>
          <w:bCs/>
          <w:i w:val="0"/>
          <w:iCs w:val="0"/>
          <w:color w:val="000000" w:themeColor="text1"/>
          <w:sz w:val="20"/>
          <w:szCs w:val="20"/>
        </w:rPr>
      </w:pPr>
      <w:bookmarkStart w:id="119" w:name="_Toc233018498"/>
      <w:r w:rsidRPr="0081375C">
        <w:rPr>
          <w:rFonts w:ascii="Arial" w:hAnsi="Arial" w:cs="Arial"/>
          <w:b/>
          <w:bCs/>
          <w:i w:val="0"/>
          <w:iCs w:val="0"/>
          <w:color w:val="000000" w:themeColor="text1"/>
          <w:sz w:val="20"/>
          <w:szCs w:val="20"/>
        </w:rPr>
        <w:t xml:space="preserve">Figura </w:t>
      </w:r>
      <w:bookmarkStart w:id="120" w:name="_Ref_FiguraEstructuraModelo"/>
      <w:r w:rsidRPr="0081375C">
        <w:rPr>
          <w:rFonts w:ascii="Arial" w:hAnsi="Arial" w:cs="Arial"/>
          <w:b/>
          <w:bCs/>
          <w:i w:val="0"/>
          <w:iCs w:val="0"/>
          <w:color w:val="000000" w:themeColor="text1"/>
          <w:sz w:val="20"/>
          <w:szCs w:val="20"/>
        </w:rPr>
        <w:fldChar w:fldCharType="begin"/>
      </w:r>
      <w:r w:rsidRPr="0081375C">
        <w:rPr>
          <w:rFonts w:ascii="Arial" w:hAnsi="Arial" w:cs="Arial"/>
          <w:b/>
          <w:bCs/>
          <w:i w:val="0"/>
          <w:iCs w:val="0"/>
          <w:color w:val="000000" w:themeColor="text1"/>
          <w:sz w:val="20"/>
          <w:szCs w:val="20"/>
        </w:rPr>
        <w:instrText xml:space="preserve"> SEQ Figura \* ARABIC </w:instrText>
      </w:r>
      <w:r w:rsidRPr="0081375C">
        <w:rPr>
          <w:rFonts w:ascii="Arial" w:hAnsi="Arial" w:cs="Arial"/>
          <w:b/>
          <w:bCs/>
          <w:i w:val="0"/>
          <w:iCs w:val="0"/>
          <w:color w:val="000000" w:themeColor="text1"/>
          <w:sz w:val="20"/>
          <w:szCs w:val="20"/>
        </w:rPr>
        <w:fldChar w:fldCharType="separate"/>
      </w:r>
      <w:r w:rsidR="008A5833" w:rsidRPr="0081375C">
        <w:rPr>
          <w:rFonts w:ascii="Arial" w:hAnsi="Arial" w:cs="Arial"/>
          <w:b/>
          <w:bCs/>
          <w:i w:val="0"/>
          <w:iCs w:val="0"/>
          <w:noProof/>
          <w:color w:val="000000" w:themeColor="text1"/>
          <w:sz w:val="20"/>
          <w:szCs w:val="20"/>
        </w:rPr>
        <w:t>7</w:t>
      </w:r>
      <w:r w:rsidRPr="0081375C">
        <w:rPr>
          <w:rFonts w:ascii="Arial" w:hAnsi="Arial" w:cs="Arial"/>
          <w:b/>
          <w:bCs/>
          <w:i w:val="0"/>
          <w:iCs w:val="0"/>
          <w:color w:val="000000" w:themeColor="text1"/>
          <w:sz w:val="20"/>
          <w:szCs w:val="20"/>
        </w:rPr>
        <w:fldChar w:fldCharType="end"/>
      </w:r>
      <w:bookmarkEnd w:id="120"/>
      <w:r w:rsidRPr="0081375C">
        <w:rPr>
          <w:rFonts w:ascii="Arial" w:hAnsi="Arial" w:cs="Arial"/>
          <w:b/>
          <w:bCs/>
          <w:i w:val="0"/>
          <w:iCs w:val="0"/>
          <w:color w:val="000000" w:themeColor="text1"/>
          <w:sz w:val="20"/>
          <w:szCs w:val="20"/>
        </w:rPr>
        <w:t>. Estructura del modelo de evaluación y seguimiento a esquemas de PSA</w:t>
      </w:r>
      <w:bookmarkEnd w:id="119"/>
    </w:p>
    <w:p w14:paraId="4A1C1123" w14:textId="77777777" w:rsidR="00631BF7" w:rsidRPr="0081375C" w:rsidRDefault="00631BF7" w:rsidP="00631BF7">
      <w:pPr>
        <w:rPr>
          <w:rFonts w:ascii="Arial" w:hAnsi="Arial" w:cs="Arial"/>
        </w:rPr>
      </w:pPr>
    </w:p>
    <w:p w14:paraId="3AB2698A" w14:textId="77777777" w:rsidR="00631BF7" w:rsidRPr="0081375C" w:rsidRDefault="00631BF7" w:rsidP="00631BF7">
      <w:pPr>
        <w:rPr>
          <w:rFonts w:ascii="Arial" w:hAnsi="Arial" w:cs="Arial"/>
        </w:rPr>
      </w:pPr>
    </w:p>
    <w:p w14:paraId="497EE1FE" w14:textId="5A2F7BA3" w:rsidR="00825D4D" w:rsidRPr="0081375C" w:rsidRDefault="5F2B011A" w:rsidP="00B9105C">
      <w:pPr>
        <w:pStyle w:val="Default"/>
        <w:rPr>
          <w:rFonts w:eastAsia="Arial"/>
          <w:color w:val="000000" w:themeColor="text1"/>
        </w:rPr>
      </w:pPr>
      <w:r w:rsidRPr="0081375C">
        <w:rPr>
          <w:b/>
          <w:bCs/>
          <w:sz w:val="22"/>
          <w:szCs w:val="22"/>
        </w:rPr>
        <w:t>Preservación</w:t>
      </w:r>
      <w:r w:rsidR="00806784" w:rsidRPr="0081375C">
        <w:rPr>
          <w:b/>
          <w:bCs/>
          <w:sz w:val="22"/>
          <w:szCs w:val="22"/>
        </w:rPr>
        <w:t xml:space="preserve"> y </w:t>
      </w:r>
      <w:r w:rsidR="00943D0D" w:rsidRPr="0081375C">
        <w:rPr>
          <w:b/>
          <w:bCs/>
          <w:sz w:val="22"/>
          <w:szCs w:val="22"/>
        </w:rPr>
        <w:t>R</w:t>
      </w:r>
      <w:r w:rsidR="00806784" w:rsidRPr="0081375C">
        <w:rPr>
          <w:b/>
          <w:bCs/>
          <w:sz w:val="22"/>
          <w:szCs w:val="22"/>
        </w:rPr>
        <w:t>estauración</w:t>
      </w:r>
    </w:p>
    <w:p w14:paraId="77734EF1" w14:textId="77777777" w:rsidR="00631BF7" w:rsidRPr="0081375C" w:rsidRDefault="00631BF7" w:rsidP="00631BF7">
      <w:pPr>
        <w:rPr>
          <w:rFonts w:ascii="Arial" w:hAnsi="Arial" w:cs="Arial"/>
        </w:rPr>
      </w:pPr>
    </w:p>
    <w:p w14:paraId="23B0B281" w14:textId="0756999A" w:rsidR="00825D4D" w:rsidRPr="0081375C" w:rsidRDefault="746A65DC">
      <w:pPr>
        <w:pStyle w:val="Prrafodelista"/>
        <w:numPr>
          <w:ilvl w:val="0"/>
          <w:numId w:val="22"/>
        </w:num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Preservación</w:t>
      </w:r>
      <w:r w:rsidR="53ABCE9C" w:rsidRPr="0081375C">
        <w:rPr>
          <w:rFonts w:ascii="Arial" w:eastAsia="Arial" w:hAnsi="Arial" w:cs="Arial"/>
          <w:b/>
          <w:bCs/>
          <w:color w:val="000000" w:themeColor="text1"/>
        </w:rPr>
        <w:t>.</w:t>
      </w:r>
      <w:r w:rsidR="00806784" w:rsidRPr="0081375C">
        <w:rPr>
          <w:rFonts w:ascii="Arial" w:eastAsia="Arial" w:hAnsi="Arial" w:cs="Arial"/>
          <w:color w:val="000000" w:themeColor="text1"/>
        </w:rPr>
        <w:t xml:space="preserve"> Produce la protección del área y evita la pérdida de cobertura. </w:t>
      </w:r>
    </w:p>
    <w:p w14:paraId="4CBCC18D" w14:textId="1DA8794D" w:rsidR="00825D4D" w:rsidRPr="0081375C" w:rsidRDefault="00806784">
      <w:pPr>
        <w:pStyle w:val="Prrafodelista"/>
        <w:numPr>
          <w:ilvl w:val="0"/>
          <w:numId w:val="22"/>
        </w:num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Supuesto procedimental:</w:t>
      </w:r>
      <w:r w:rsidRPr="0081375C">
        <w:rPr>
          <w:rFonts w:ascii="Arial" w:eastAsia="Arial" w:hAnsi="Arial" w:cs="Arial"/>
          <w:color w:val="000000" w:themeColor="text1"/>
        </w:rPr>
        <w:t xml:space="preserve"> el manejo y la vigilancia protegen el área. </w:t>
      </w:r>
    </w:p>
    <w:p w14:paraId="005A0B07" w14:textId="77777777" w:rsidR="00825D4D" w:rsidRPr="0081375C" w:rsidRDefault="00806784">
      <w:pPr>
        <w:pStyle w:val="Prrafodelista"/>
        <w:numPr>
          <w:ilvl w:val="0"/>
          <w:numId w:val="22"/>
        </w:num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Supuesto comportamental:</w:t>
      </w:r>
      <w:r w:rsidRPr="0081375C">
        <w:rPr>
          <w:rFonts w:ascii="Arial" w:eastAsia="Arial" w:hAnsi="Arial" w:cs="Arial"/>
          <w:color w:val="000000" w:themeColor="text1"/>
        </w:rPr>
        <w:t xml:space="preserve"> el beneficiario se abstiene de intervenir. </w:t>
      </w:r>
    </w:p>
    <w:p w14:paraId="6A1D9641" w14:textId="77777777" w:rsidR="00365139" w:rsidRPr="0081375C" w:rsidRDefault="00365139" w:rsidP="00631BF7">
      <w:pPr>
        <w:pStyle w:val="Prrafodelista"/>
        <w:spacing w:line="23" w:lineRule="atLeast"/>
        <w:ind w:left="0"/>
        <w:jc w:val="both"/>
        <w:rPr>
          <w:rFonts w:ascii="Arial" w:eastAsia="Arial" w:hAnsi="Arial" w:cs="Arial"/>
          <w:color w:val="000000" w:themeColor="text1"/>
        </w:rPr>
      </w:pPr>
    </w:p>
    <w:p w14:paraId="1965C5FD" w14:textId="38FD57C9" w:rsidR="00825D4D" w:rsidRPr="0081375C" w:rsidRDefault="65049D20" w:rsidP="00631BF7">
      <w:pPr>
        <w:pStyle w:val="Prrafodelista"/>
        <w:spacing w:line="23" w:lineRule="atLeast"/>
        <w:ind w:left="0"/>
        <w:jc w:val="both"/>
        <w:rPr>
          <w:rFonts w:ascii="Arial" w:eastAsia="Arial" w:hAnsi="Arial" w:cs="Arial"/>
          <w:color w:val="000000" w:themeColor="text1"/>
        </w:rPr>
      </w:pPr>
      <w:r w:rsidRPr="0081375C">
        <w:rPr>
          <w:rFonts w:ascii="Arial" w:eastAsia="Arial" w:hAnsi="Arial" w:cs="Arial"/>
          <w:color w:val="000000" w:themeColor="text1"/>
        </w:rPr>
        <w:t>El primero se verifica con el monitoreo espacial de coberturas (NDVI bianual, mapa de transiciones), donde la estabilidad o ganancia es favorable. El segundo, con el IVS trimestral y el avance en buenas prácticas productivas.</w:t>
      </w:r>
    </w:p>
    <w:p w14:paraId="7D151EA9" w14:textId="77777777" w:rsidR="00631BF7" w:rsidRPr="0081375C" w:rsidRDefault="00631BF7" w:rsidP="00631BF7">
      <w:pPr>
        <w:pStyle w:val="Prrafodelista"/>
        <w:spacing w:line="23" w:lineRule="atLeast"/>
        <w:ind w:left="0"/>
        <w:jc w:val="both"/>
        <w:rPr>
          <w:rFonts w:ascii="Arial" w:eastAsia="Arial" w:hAnsi="Arial" w:cs="Arial"/>
          <w:color w:val="000000" w:themeColor="text1"/>
        </w:rPr>
      </w:pPr>
    </w:p>
    <w:p w14:paraId="70694876" w14:textId="77777777" w:rsidR="00825D4D" w:rsidRPr="0081375C" w:rsidRDefault="00806784">
      <w:pPr>
        <w:pStyle w:val="Prrafodelista"/>
        <w:numPr>
          <w:ilvl w:val="0"/>
          <w:numId w:val="22"/>
        </w:num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Restauración.</w:t>
      </w:r>
      <w:r w:rsidRPr="0081375C">
        <w:rPr>
          <w:rFonts w:ascii="Arial" w:eastAsia="Arial" w:hAnsi="Arial" w:cs="Arial"/>
          <w:color w:val="000000" w:themeColor="text1"/>
        </w:rPr>
        <w:t xml:space="preserve"> Produce la intervención activa y recupera la cobertura perdida. </w:t>
      </w:r>
    </w:p>
    <w:p w14:paraId="0E196237" w14:textId="0A5EE831" w:rsidR="00631BF7" w:rsidRPr="0081375C" w:rsidRDefault="00806784">
      <w:pPr>
        <w:pStyle w:val="Prrafodelista"/>
        <w:numPr>
          <w:ilvl w:val="0"/>
          <w:numId w:val="22"/>
        </w:num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Supuesto procedimental:</w:t>
      </w:r>
      <w:r w:rsidRPr="0081375C">
        <w:rPr>
          <w:rFonts w:ascii="Arial" w:eastAsia="Arial" w:hAnsi="Arial" w:cs="Arial"/>
          <w:color w:val="000000" w:themeColor="text1"/>
        </w:rPr>
        <w:t xml:space="preserve"> las acciones recuperan el área. </w:t>
      </w:r>
    </w:p>
    <w:p w14:paraId="120DBF00" w14:textId="52160D96" w:rsidR="00825D4D" w:rsidRPr="0081375C" w:rsidRDefault="00C23970">
      <w:pPr>
        <w:pStyle w:val="Prrafodelista"/>
        <w:numPr>
          <w:ilvl w:val="0"/>
          <w:numId w:val="22"/>
        </w:numPr>
        <w:spacing w:line="23" w:lineRule="atLeast"/>
        <w:jc w:val="both"/>
        <w:rPr>
          <w:rFonts w:ascii="Arial" w:eastAsia="Arial" w:hAnsi="Arial" w:cs="Arial"/>
          <w:color w:val="000000" w:themeColor="text1"/>
        </w:rPr>
      </w:pPr>
      <w:r w:rsidRPr="0081375C">
        <w:rPr>
          <w:rFonts w:ascii="Arial" w:eastAsia="Arial" w:hAnsi="Arial" w:cs="Arial"/>
          <w:b/>
          <w:bCs/>
          <w:color w:val="000000" w:themeColor="text1"/>
        </w:rPr>
        <w:t xml:space="preserve">Supuesto </w:t>
      </w:r>
      <w:r w:rsidR="2D17B685" w:rsidRPr="0081375C">
        <w:rPr>
          <w:rFonts w:ascii="Arial" w:eastAsia="Arial" w:hAnsi="Arial" w:cs="Arial"/>
          <w:b/>
          <w:bCs/>
          <w:color w:val="000000" w:themeColor="text1"/>
        </w:rPr>
        <w:t>C</w:t>
      </w:r>
      <w:r w:rsidR="53ABCE9C" w:rsidRPr="0081375C">
        <w:rPr>
          <w:rFonts w:ascii="Arial" w:eastAsia="Arial" w:hAnsi="Arial" w:cs="Arial"/>
          <w:b/>
          <w:bCs/>
          <w:color w:val="000000" w:themeColor="text1"/>
        </w:rPr>
        <w:t>omportamental</w:t>
      </w:r>
      <w:r w:rsidR="00806784" w:rsidRPr="0081375C">
        <w:rPr>
          <w:rFonts w:ascii="Arial" w:eastAsia="Arial" w:hAnsi="Arial" w:cs="Arial"/>
          <w:b/>
          <w:bCs/>
          <w:color w:val="000000" w:themeColor="text1"/>
        </w:rPr>
        <w:t>:</w:t>
      </w:r>
      <w:r w:rsidR="00806784" w:rsidRPr="0081375C">
        <w:rPr>
          <w:rFonts w:ascii="Arial" w:eastAsia="Arial" w:hAnsi="Arial" w:cs="Arial"/>
          <w:color w:val="000000" w:themeColor="text1"/>
        </w:rPr>
        <w:t xml:space="preserve"> el beneficiario avanza en el cronograma. </w:t>
      </w:r>
    </w:p>
    <w:p w14:paraId="5E6A9B1F" w14:textId="77777777" w:rsidR="00365139" w:rsidRPr="0081375C" w:rsidRDefault="00365139" w:rsidP="00631BF7">
      <w:pPr>
        <w:pStyle w:val="Prrafodelista"/>
        <w:spacing w:line="23" w:lineRule="atLeast"/>
        <w:ind w:left="0"/>
        <w:jc w:val="both"/>
        <w:rPr>
          <w:rFonts w:ascii="Arial" w:eastAsia="Arial" w:hAnsi="Arial" w:cs="Arial"/>
          <w:color w:val="000000" w:themeColor="text1"/>
        </w:rPr>
      </w:pPr>
    </w:p>
    <w:p w14:paraId="290FEA79" w14:textId="3D8EB473" w:rsidR="00825D4D" w:rsidRPr="0081375C" w:rsidRDefault="65049D20" w:rsidP="00631BF7">
      <w:pPr>
        <w:pStyle w:val="Prrafodelista"/>
        <w:spacing w:line="23" w:lineRule="atLeast"/>
        <w:ind w:left="0"/>
        <w:jc w:val="both"/>
        <w:rPr>
          <w:rFonts w:ascii="Arial" w:eastAsia="Arial" w:hAnsi="Arial" w:cs="Arial"/>
          <w:color w:val="000000" w:themeColor="text1"/>
        </w:rPr>
      </w:pPr>
      <w:r w:rsidRPr="0081375C">
        <w:rPr>
          <w:rFonts w:ascii="Arial" w:eastAsia="Arial" w:hAnsi="Arial" w:cs="Arial"/>
          <w:color w:val="000000" w:themeColor="text1"/>
        </w:rPr>
        <w:t xml:space="preserve">El primero se verifica con el monitoreo espacial de coberturas frente al estado esperado (la pérdida puntual no es desfavorable si hay potencial documentado) y con el monitoreo de flora (plántulas nativas en </w:t>
      </w:r>
      <w:proofErr w:type="spellStart"/>
      <w:proofErr w:type="gramStart"/>
      <w:r w:rsidRPr="0081375C">
        <w:rPr>
          <w:rFonts w:ascii="Arial" w:eastAsia="Arial" w:hAnsi="Arial" w:cs="Arial"/>
          <w:color w:val="000000" w:themeColor="text1"/>
        </w:rPr>
        <w:t>ind</w:t>
      </w:r>
      <w:proofErr w:type="spellEnd"/>
      <w:r w:rsidRPr="0081375C">
        <w:rPr>
          <w:rFonts w:ascii="Arial" w:eastAsia="Arial" w:hAnsi="Arial" w:cs="Arial"/>
          <w:color w:val="000000" w:themeColor="text1"/>
        </w:rPr>
        <w:t>./</w:t>
      </w:r>
      <w:proofErr w:type="spellStart"/>
      <w:proofErr w:type="gramEnd"/>
      <w:r w:rsidRPr="0081375C">
        <w:rPr>
          <w:rFonts w:ascii="Arial" w:eastAsia="Arial" w:hAnsi="Arial" w:cs="Arial"/>
          <w:color w:val="000000" w:themeColor="text1"/>
        </w:rPr>
        <w:t>ha</w:t>
      </w:r>
      <w:proofErr w:type="spellEnd"/>
      <w:r w:rsidRPr="0081375C">
        <w:rPr>
          <w:rFonts w:ascii="Arial" w:eastAsia="Arial" w:hAnsi="Arial" w:cs="Arial"/>
          <w:color w:val="000000" w:themeColor="text1"/>
        </w:rPr>
        <w:t xml:space="preserve"> y tasa de incremento de área basal). El segundo, con el IVS trimestral y las buenas prácticas en áreas comprometidas.</w:t>
      </w:r>
    </w:p>
    <w:p w14:paraId="56EE7666" w14:textId="77777777" w:rsidR="00631BF7" w:rsidRPr="0081375C" w:rsidRDefault="00631BF7" w:rsidP="00631BF7">
      <w:pPr>
        <w:pStyle w:val="Prrafodelista"/>
        <w:spacing w:line="23" w:lineRule="atLeast"/>
        <w:ind w:left="0"/>
        <w:jc w:val="both"/>
        <w:rPr>
          <w:rFonts w:ascii="Arial" w:eastAsia="Arial" w:hAnsi="Arial" w:cs="Arial"/>
          <w:color w:val="000000" w:themeColor="text1"/>
        </w:rPr>
      </w:pPr>
    </w:p>
    <w:p w14:paraId="62A2DE2D" w14:textId="163978AE" w:rsidR="00825D4D" w:rsidRPr="0081375C" w:rsidRDefault="00825D4D" w:rsidP="729FED67">
      <w:pPr>
        <w:pStyle w:val="Ttulo5"/>
        <w:spacing w:before="0" w:after="0" w:line="23" w:lineRule="atLeast"/>
        <w:rPr>
          <w:rFonts w:eastAsia="Arial" w:cs="Arial"/>
          <w:color w:val="000000" w:themeColor="text1"/>
        </w:rPr>
      </w:pPr>
    </w:p>
    <w:p w14:paraId="31445F8C" w14:textId="233AF9E1" w:rsidR="00825D4D" w:rsidRPr="0081375C" w:rsidRDefault="00806784" w:rsidP="0070084E">
      <w:pPr>
        <w:pStyle w:val="Ttulo3"/>
        <w:numPr>
          <w:ilvl w:val="2"/>
          <w:numId w:val="27"/>
        </w:numPr>
        <w:spacing w:beforeAutospacing="0" w:afterAutospacing="0" w:line="23" w:lineRule="atLeast"/>
        <w:rPr>
          <w:color w:val="000000" w:themeColor="text1"/>
          <w:lang w:val="es-CO"/>
        </w:rPr>
      </w:pPr>
      <w:bookmarkStart w:id="121" w:name="_Toc232154426"/>
      <w:bookmarkStart w:id="122" w:name="_Toc233304209"/>
      <w:r w:rsidRPr="0081375C">
        <w:rPr>
          <w:color w:val="000000" w:themeColor="text1"/>
          <w:lang w:val="es-CO"/>
        </w:rPr>
        <w:t xml:space="preserve">Evaluación </w:t>
      </w:r>
      <w:r w:rsidR="00FD1643" w:rsidRPr="0081375C">
        <w:rPr>
          <w:color w:val="000000" w:themeColor="text1"/>
          <w:lang w:val="es-CO"/>
        </w:rPr>
        <w:t>S</w:t>
      </w:r>
      <w:r w:rsidRPr="0081375C">
        <w:rPr>
          <w:color w:val="000000" w:themeColor="text1"/>
          <w:lang w:val="es-CO"/>
        </w:rPr>
        <w:t xml:space="preserve">umativa: </w:t>
      </w:r>
      <w:r w:rsidR="00FD1643" w:rsidRPr="0081375C">
        <w:rPr>
          <w:color w:val="000000" w:themeColor="text1"/>
          <w:lang w:val="es-CO"/>
        </w:rPr>
        <w:t>R</w:t>
      </w:r>
      <w:r w:rsidRPr="0081375C">
        <w:rPr>
          <w:color w:val="000000" w:themeColor="text1"/>
          <w:lang w:val="es-CO"/>
        </w:rPr>
        <w:t xml:space="preserve">esultados e </w:t>
      </w:r>
      <w:r w:rsidR="00FD1643" w:rsidRPr="0081375C">
        <w:rPr>
          <w:color w:val="000000" w:themeColor="text1"/>
          <w:lang w:val="es-CO"/>
        </w:rPr>
        <w:t>I</w:t>
      </w:r>
      <w:r w:rsidRPr="0081375C">
        <w:rPr>
          <w:color w:val="000000" w:themeColor="text1"/>
          <w:lang w:val="es-CO"/>
        </w:rPr>
        <w:t>mpacto</w:t>
      </w:r>
      <w:bookmarkEnd w:id="121"/>
      <w:bookmarkEnd w:id="122"/>
    </w:p>
    <w:p w14:paraId="5CDC69F7" w14:textId="77777777" w:rsidR="005C4D42" w:rsidRPr="0081375C" w:rsidRDefault="005C4D42" w:rsidP="008E2193">
      <w:pPr>
        <w:rPr>
          <w:rFonts w:ascii="Arial" w:hAnsi="Arial" w:cs="Arial"/>
        </w:rPr>
      </w:pPr>
    </w:p>
    <w:p w14:paraId="27124F29"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Esta evaluación emite los juicios sumativos: determina si el esquema produce los resultados que justifican su operación. No orienta ajustes operativos sino decisiones sobre el esquema: continuidad, cambios de diseño y criterios de la siguiente convocatoria.</w:t>
      </w:r>
    </w:p>
    <w:p w14:paraId="0F5055CA" w14:textId="074D834F" w:rsidR="005C4D42" w:rsidRPr="0081375C" w:rsidRDefault="005C4D42" w:rsidP="729FED67">
      <w:pPr>
        <w:spacing w:line="23" w:lineRule="atLeast"/>
        <w:jc w:val="both"/>
        <w:rPr>
          <w:rFonts w:ascii="Arial" w:eastAsia="Arial" w:hAnsi="Arial" w:cs="Arial"/>
          <w:color w:val="000000" w:themeColor="text1"/>
        </w:rPr>
      </w:pPr>
    </w:p>
    <w:p w14:paraId="5B62CA9A" w14:textId="4F00AAA4"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esquema opera con acuerdos de cinco años. La evaluación sumativa se produce en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+2,5 y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+5.</w:t>
      </w:r>
    </w:p>
    <w:p w14:paraId="0688E152" w14:textId="71F03621" w:rsidR="005C4D42" w:rsidRPr="0081375C" w:rsidRDefault="005C4D42" w:rsidP="729FED67">
      <w:pPr>
        <w:spacing w:line="23" w:lineRule="atLeast"/>
        <w:jc w:val="both"/>
        <w:rPr>
          <w:rFonts w:ascii="Arial" w:eastAsia="Arial" w:hAnsi="Arial" w:cs="Arial"/>
          <w:color w:val="000000" w:themeColor="text1"/>
        </w:rPr>
      </w:pPr>
    </w:p>
    <w:p w14:paraId="7B22840A" w14:textId="6AE83D72" w:rsidR="005C4D42" w:rsidRPr="0081375C" w:rsidRDefault="027CC472"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evaluación sumativa tendrá como base los siguientes criterios:</w:t>
      </w:r>
    </w:p>
    <w:p w14:paraId="3ACF7AC3" w14:textId="6E1054F4" w:rsidR="005C4D42" w:rsidRPr="0081375C" w:rsidRDefault="027CC472" w:rsidP="729FED67">
      <w:pPr>
        <w:spacing w:beforeAutospacing="1" w:afterAutospacing="1" w:line="23" w:lineRule="atLeast"/>
        <w:jc w:val="both"/>
        <w:rPr>
          <w:rFonts w:ascii="Arial" w:eastAsia="Arial" w:hAnsi="Arial" w:cs="Arial"/>
        </w:rPr>
      </w:pPr>
      <w:r w:rsidRPr="0081375C">
        <w:rPr>
          <w:rFonts w:ascii="Arial" w:eastAsia="Arial" w:hAnsi="Arial" w:cs="Arial"/>
          <w:b/>
          <w:bCs/>
        </w:rPr>
        <w:lastRenderedPageBreak/>
        <w:t>Efectividad: ¿produce los efectos esperados sobre ecosistemas, población y territorio?</w:t>
      </w:r>
      <w:r w:rsidRPr="0081375C">
        <w:rPr>
          <w:rFonts w:ascii="Arial" w:eastAsia="Arial" w:hAnsi="Arial" w:cs="Arial"/>
        </w:rPr>
        <w:t xml:space="preserve"> En el plano ecológico examina las consecuencias de primer orden (presión, pérdida evitada, recuperación, situación agregada). En el plano social y territorial examina las de segundo orden, que requieren articulación interinstitucional para acceder a los datos.</w:t>
      </w:r>
    </w:p>
    <w:p w14:paraId="3DBFC82D" w14:textId="1EDB314A" w:rsidR="005C4D42" w:rsidRPr="0081375C" w:rsidRDefault="027CC472" w:rsidP="729FED67">
      <w:pPr>
        <w:spacing w:beforeAutospacing="1" w:afterAutospacing="1" w:line="23" w:lineRule="atLeast"/>
        <w:jc w:val="both"/>
        <w:rPr>
          <w:rFonts w:ascii="Arial" w:eastAsia="Arial" w:hAnsi="Arial" w:cs="Arial"/>
        </w:rPr>
      </w:pPr>
      <w:r w:rsidRPr="0081375C">
        <w:rPr>
          <w:rFonts w:ascii="Arial" w:eastAsia="Arial" w:hAnsi="Arial" w:cs="Arial"/>
          <w:b/>
          <w:bCs/>
        </w:rPr>
        <w:t>Adicionalidad: ¿los cambios son atribuibles al esquema?</w:t>
      </w:r>
      <w:r w:rsidRPr="0081375C">
        <w:rPr>
          <w:rFonts w:ascii="Arial" w:eastAsia="Arial" w:hAnsi="Arial" w:cs="Arial"/>
        </w:rPr>
        <w:t xml:space="preserve"> Depende del diseño contrafactual de la teoría del cambio: predios de referencia, datos satelitales regionales o no respuesta explícita. Si se declaró la no respuesta, la pregunta queda abierta y el informe lo documenta como decisión de diseño, no como limitación técnica. Sin decisión documentada, la indefinición invalida cualquier afirmación sobre impacto causal.</w:t>
      </w:r>
    </w:p>
    <w:p w14:paraId="0CC5F5BA" w14:textId="2F5E21A0" w:rsidR="005C4D42" w:rsidRPr="0081375C" w:rsidRDefault="027CC472" w:rsidP="729FED67">
      <w:pPr>
        <w:spacing w:beforeAutospacing="1" w:afterAutospacing="1" w:line="23" w:lineRule="atLeast"/>
        <w:jc w:val="both"/>
        <w:rPr>
          <w:rFonts w:ascii="Arial" w:eastAsia="Arial" w:hAnsi="Arial" w:cs="Arial"/>
        </w:rPr>
      </w:pPr>
      <w:r w:rsidRPr="0081375C">
        <w:rPr>
          <w:rFonts w:ascii="Arial" w:eastAsia="Arial" w:hAnsi="Arial" w:cs="Arial"/>
          <w:b/>
          <w:bCs/>
        </w:rPr>
        <w:t>Costo-efectividad: ¿el costo es proporcional al valor verificado?</w:t>
      </w:r>
      <w:r w:rsidRPr="0081375C">
        <w:rPr>
          <w:rFonts w:ascii="Arial" w:eastAsia="Arial" w:hAnsi="Arial" w:cs="Arial"/>
        </w:rPr>
        <w:t xml:space="preserve"> Requiere costos desagregados por modalidad y por unidad de servicio (área conservada, tonelada de CO</w:t>
      </w:r>
      <w:r w:rsidRPr="0081375C">
        <w:rPr>
          <w:rFonts w:ascii="Cambria Math" w:eastAsia="Cambria Math" w:hAnsi="Cambria Math" w:cs="Cambria Math"/>
        </w:rPr>
        <w:t>₂</w:t>
      </w:r>
      <w:r w:rsidRPr="0081375C">
        <w:rPr>
          <w:rFonts w:ascii="Arial" w:eastAsia="Arial" w:hAnsi="Arial" w:cs="Arial"/>
        </w:rPr>
        <w:t xml:space="preserve"> equivalente) y un referente regional.</w:t>
      </w:r>
    </w:p>
    <w:p w14:paraId="12F697A0" w14:textId="78E07141" w:rsidR="005C4D42" w:rsidRPr="0081375C" w:rsidRDefault="027CC472" w:rsidP="729FED67">
      <w:pPr>
        <w:spacing w:beforeAutospacing="1" w:afterAutospacing="1" w:line="23" w:lineRule="atLeast"/>
        <w:jc w:val="both"/>
        <w:rPr>
          <w:rFonts w:ascii="Arial" w:eastAsia="Arial" w:hAnsi="Arial" w:cs="Arial"/>
        </w:rPr>
      </w:pPr>
      <w:r w:rsidRPr="0081375C">
        <w:rPr>
          <w:rFonts w:ascii="Arial" w:eastAsia="Arial" w:hAnsi="Arial" w:cs="Arial"/>
          <w:b/>
          <w:bCs/>
        </w:rPr>
        <w:t>Apropiación y permanencia: ¿se sostiene la conservación tras la obligación contractual?</w:t>
      </w:r>
      <w:r w:rsidRPr="0081375C">
        <w:rPr>
          <w:rFonts w:ascii="Arial" w:eastAsia="Arial" w:hAnsi="Arial" w:cs="Arial"/>
        </w:rPr>
        <w:t xml:space="preserve"> Detecta el riesgo de reversión al retirar el pago. Requiere que el monitoreo institucional sobre predios egresados continúe más allá del cierre.</w:t>
      </w:r>
    </w:p>
    <w:p w14:paraId="04420D1C" w14:textId="6943C5A5" w:rsidR="005C4D42" w:rsidRPr="0081375C" w:rsidRDefault="25F7D316" w:rsidP="0070084E">
      <w:pPr>
        <w:pStyle w:val="Ttulo3"/>
        <w:numPr>
          <w:ilvl w:val="2"/>
          <w:numId w:val="27"/>
        </w:numPr>
        <w:spacing w:beforeAutospacing="0" w:afterAutospacing="0" w:line="23" w:lineRule="atLeast"/>
        <w:rPr>
          <w:color w:val="000000" w:themeColor="text1"/>
          <w:lang w:val="es-CO"/>
        </w:rPr>
      </w:pPr>
      <w:bookmarkStart w:id="123" w:name="_Toc233304210"/>
      <w:r w:rsidRPr="0081375C">
        <w:rPr>
          <w:color w:val="000000" w:themeColor="text1"/>
          <w:lang w:val="es-CO"/>
        </w:rPr>
        <w:t>Instrumentos de Monitoreo</w:t>
      </w:r>
      <w:bookmarkEnd w:id="123"/>
    </w:p>
    <w:p w14:paraId="0B6613C8" w14:textId="77777777" w:rsidR="005C4D42" w:rsidRPr="0081375C" w:rsidRDefault="005C4D42" w:rsidP="729FED67">
      <w:pPr>
        <w:spacing w:line="23" w:lineRule="atLeast"/>
        <w:rPr>
          <w:rFonts w:ascii="Arial" w:hAnsi="Arial" w:cs="Arial"/>
        </w:rPr>
      </w:pPr>
    </w:p>
    <w:p w14:paraId="59784718" w14:textId="65B5828A"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evaluación se apoya en cuatro instrumentos de monitoreo que generan la evidencia con la que se verifican los supuestos de las actividades y de los resultados. Todos comparten una arquitectura común: se configuran una vez y se ejecutan de forma periódica, y ambos momentos siguen las mismas definiciones mínimas. El detalle metodológico, los parámetros de muestreo y los protocolos de campo residen en los documentos técnicos de soporte y no se reproducen en esta guía.</w:t>
      </w:r>
    </w:p>
    <w:p w14:paraId="77629FF3" w14:textId="77777777" w:rsidR="005C4D42" w:rsidRPr="0081375C" w:rsidRDefault="005C4D42" w:rsidP="729FED67">
      <w:pPr>
        <w:spacing w:line="23" w:lineRule="atLeast"/>
        <w:jc w:val="both"/>
        <w:rPr>
          <w:rFonts w:ascii="Arial" w:eastAsia="Arial" w:hAnsi="Arial" w:cs="Arial"/>
          <w:color w:val="000000" w:themeColor="text1"/>
        </w:rPr>
      </w:pPr>
    </w:p>
    <w:p w14:paraId="1EBC56B7" w14:textId="5F519074"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Cada instrumento se implementa en dos momentos: el establecimiento fija la línea base y el diseño persistente, y la ejecución repite la captura en cada remedición sin redefinir ese diseño. </w:t>
      </w:r>
    </w:p>
    <w:p w14:paraId="2F55E651" w14:textId="77777777" w:rsidR="005C4D42" w:rsidRPr="0081375C" w:rsidRDefault="005C4D42" w:rsidP="729FED67">
      <w:pPr>
        <w:spacing w:line="23" w:lineRule="atLeast"/>
        <w:jc w:val="both"/>
        <w:rPr>
          <w:rFonts w:ascii="Arial" w:eastAsia="Arial" w:hAnsi="Arial" w:cs="Arial"/>
          <w:color w:val="000000" w:themeColor="text1"/>
        </w:rPr>
      </w:pPr>
    </w:p>
    <w:p w14:paraId="08273747" w14:textId="2A7EE1BC" w:rsidR="005C4D42" w:rsidRPr="0081375C" w:rsidRDefault="2D5E9479" w:rsidP="729FED67">
      <w:pPr>
        <w:pStyle w:val="Ttulo5"/>
        <w:spacing w:before="0" w:after="0" w:line="23" w:lineRule="atLeast"/>
        <w:rPr>
          <w:rFonts w:eastAsia="Arial" w:cs="Arial"/>
          <w:color w:val="000000" w:themeColor="text1"/>
        </w:rPr>
      </w:pPr>
      <w:bookmarkStart w:id="124" w:name="_Toc233304211"/>
      <w:r w:rsidRPr="0081375C">
        <w:rPr>
          <w:rFonts w:eastAsia="Arial" w:cs="Arial"/>
          <w:color w:val="000000" w:themeColor="text1"/>
        </w:rPr>
        <w:t xml:space="preserve">3.3.3.1 </w:t>
      </w:r>
      <w:r w:rsidR="25F7D316" w:rsidRPr="0081375C">
        <w:rPr>
          <w:rFonts w:eastAsia="Arial" w:cs="Arial"/>
          <w:color w:val="000000" w:themeColor="text1"/>
        </w:rPr>
        <w:t xml:space="preserve">Monitoreo Espacial </w:t>
      </w:r>
      <w:r w:rsidR="001F6EBF" w:rsidRPr="0081375C">
        <w:rPr>
          <w:rFonts w:eastAsia="Arial" w:cs="Arial"/>
          <w:color w:val="000000" w:themeColor="text1"/>
        </w:rPr>
        <w:t>d</w:t>
      </w:r>
      <w:r w:rsidR="25F7D316" w:rsidRPr="0081375C">
        <w:rPr>
          <w:rFonts w:eastAsia="Arial" w:cs="Arial"/>
          <w:color w:val="000000" w:themeColor="text1"/>
        </w:rPr>
        <w:t>e Coberturas</w:t>
      </w:r>
      <w:bookmarkEnd w:id="124"/>
    </w:p>
    <w:p w14:paraId="1BF43141" w14:textId="77777777" w:rsidR="005C4D42" w:rsidRPr="0081375C" w:rsidRDefault="005C4D42" w:rsidP="729FED67">
      <w:pPr>
        <w:spacing w:line="23" w:lineRule="atLeast"/>
        <w:rPr>
          <w:rFonts w:ascii="Arial" w:hAnsi="Arial" w:cs="Arial"/>
        </w:rPr>
      </w:pPr>
    </w:p>
    <w:p w14:paraId="65471822" w14:textId="77777777"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Sigue los cambios espaciales de cobertura vegetal dentro del predio mediante análisis multitemporal del NDVI, para verificar si el incentivo frena la pérdida o favorece la recuperación. El establecimiento fija la línea base por predio con cartografía inicial y trayectoria del NDVI; la ingesta procesa imágenes satelitales comparables entre periodos; el procesamiento reclasifica el NDVI en categorías de cambio; y la evaluación compara contra la línea base con criterios de favorable, intermedio y desfavorable.</w:t>
      </w:r>
    </w:p>
    <w:p w14:paraId="0F3C2D76" w14:textId="77777777" w:rsidR="005C4D42" w:rsidRPr="0081375C" w:rsidRDefault="005C4D42" w:rsidP="729FED67">
      <w:pPr>
        <w:spacing w:line="23" w:lineRule="atLeast"/>
        <w:jc w:val="both"/>
        <w:rPr>
          <w:rFonts w:ascii="Arial" w:eastAsia="Arial" w:hAnsi="Arial" w:cs="Arial"/>
          <w:color w:val="000000" w:themeColor="text1"/>
        </w:rPr>
      </w:pPr>
    </w:p>
    <w:p w14:paraId="1FFD7935" w14:textId="46F2C16E"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El método se externaliza en el documento de soporte y la trazabilidad evaluativa se establece en la guía. La consolidación de la información y su trazabilidad son responsabilidad del operador mientras se ajusta el protocolo institucional.</w:t>
      </w:r>
    </w:p>
    <w:p w14:paraId="213F55CB" w14:textId="77777777" w:rsidR="00652357" w:rsidRPr="0081375C" w:rsidRDefault="00652357" w:rsidP="729FED67">
      <w:pPr>
        <w:spacing w:line="23" w:lineRule="atLeast"/>
        <w:jc w:val="both"/>
        <w:rPr>
          <w:rFonts w:ascii="Arial" w:eastAsia="Arial" w:hAnsi="Arial" w:cs="Arial"/>
          <w:color w:val="000000" w:themeColor="text1"/>
        </w:rPr>
      </w:pPr>
    </w:p>
    <w:p w14:paraId="5DAA08C9" w14:textId="77777777" w:rsidR="00652357" w:rsidRPr="0081375C" w:rsidRDefault="00652357" w:rsidP="00652357">
      <w:pPr>
        <w:spacing w:line="276" w:lineRule="auto"/>
        <w:jc w:val="both"/>
      </w:pPr>
      <w:r w:rsidRPr="0081375C">
        <w:rPr>
          <w:rFonts w:ascii="Arial" w:eastAsia="Arial" w:hAnsi="Arial" w:cs="Arial"/>
        </w:rPr>
        <w:t>El monitoreo espacial de coberturas evalúa si el esquema PSA detiene la pérdida y favorece la recuperación de cobertura vegetal natural en predios participantes, comparados con la trayectoria histórica del predio y con predios control sin PSA. Esta pregunta se vincula al eslabón de resultado (mantenimiento o recuperación de cobertura vegetal) y al eslabón de impacto (provisión de servicios ecosistémicos de regulación hídrica, almacenamiento de carbono y soporte de hábitat). El supuesto causal es que la conservación y restauración bajo PSA detiene procesos de pérdida de cobertura y produce recuperación vegetal verificable espacialmente.</w:t>
      </w:r>
    </w:p>
    <w:p w14:paraId="5F1FF6F6" w14:textId="41A89741" w:rsidR="00652357" w:rsidRPr="0081375C" w:rsidRDefault="00652357" w:rsidP="00652357">
      <w:pPr>
        <w:spacing w:line="276" w:lineRule="auto"/>
        <w:jc w:val="both"/>
      </w:pPr>
    </w:p>
    <w:p w14:paraId="68522371" w14:textId="393CF3A1" w:rsidR="00652357" w:rsidRPr="0081375C" w:rsidRDefault="00652357" w:rsidP="00652357">
      <w:pPr>
        <w:spacing w:line="276" w:lineRule="auto"/>
        <w:jc w:val="both"/>
      </w:pPr>
      <w:r w:rsidRPr="0081375C">
        <w:rPr>
          <w:rFonts w:ascii="Arial" w:eastAsia="Arial" w:hAnsi="Arial" w:cs="Arial"/>
        </w:rPr>
        <w:t>El establecimiento produce la línea base espacial que la ejecución periódica en actualizará y comparará. Se compone de cuatro productos articulados, acompañados de la matriz de trazabilidad que vincula cada variable y métrica con su pregunta evaluativa y eslabón de la teoría del cambio.</w:t>
      </w:r>
    </w:p>
    <w:p w14:paraId="32268B5B" w14:textId="5D13B7A4" w:rsidR="00652357" w:rsidRPr="0081375C" w:rsidRDefault="00652357" w:rsidP="00652357">
      <w:pPr>
        <w:spacing w:line="276" w:lineRule="auto"/>
        <w:jc w:val="both"/>
      </w:pPr>
    </w:p>
    <w:p w14:paraId="0BBCEBB7" w14:textId="77777777" w:rsidR="00652357" w:rsidRPr="0081375C" w:rsidRDefault="00652357" w:rsidP="00652357">
      <w:pPr>
        <w:spacing w:line="276" w:lineRule="auto"/>
        <w:jc w:val="both"/>
      </w:pPr>
      <w:r w:rsidRPr="0081375C">
        <w:rPr>
          <w:rFonts w:ascii="Arial" w:eastAsia="Arial" w:hAnsi="Arial" w:cs="Arial"/>
        </w:rPr>
        <w:t>El primero es la delimitación del área objeto del incentivo: georreferenciación del perímetro del predio y del área bajo acuerdo, verificada contra el CBML y el FO-GEAM-111. Esta capa es el marco espacial de referencia para todos los análisis posteriores; cualquier actualización debe versionarse con control de cambios desde t₀.</w:t>
      </w:r>
    </w:p>
    <w:p w14:paraId="69AB9429" w14:textId="77777777" w:rsidR="00652357" w:rsidRPr="0081375C" w:rsidRDefault="00652357" w:rsidP="00652357">
      <w:pPr>
        <w:spacing w:line="276" w:lineRule="auto"/>
        <w:jc w:val="both"/>
      </w:pPr>
      <w:r w:rsidRPr="0081375C">
        <w:rPr>
          <w:rFonts w:ascii="Arial" w:eastAsia="Arial" w:hAnsi="Arial" w:cs="Arial"/>
        </w:rPr>
        <w:t xml:space="preserve"> </w:t>
      </w:r>
    </w:p>
    <w:p w14:paraId="765FCA13" w14:textId="77777777" w:rsidR="00652357" w:rsidRPr="0081375C" w:rsidRDefault="00652357" w:rsidP="00652357">
      <w:pPr>
        <w:spacing w:line="276" w:lineRule="auto"/>
        <w:jc w:val="both"/>
      </w:pPr>
      <w:r w:rsidRPr="0081375C">
        <w:rPr>
          <w:rFonts w:ascii="Arial" w:eastAsia="Arial" w:hAnsi="Arial" w:cs="Arial"/>
        </w:rPr>
        <w:t>El segundo es la cartografía inicial de coberturas (t₀): clasificación según Corine Land Cover adaptado para Colombia, diferenciando al menos bosque, no bosque y áreas degradadas. Se registra el porcentaje de cada cobertura sobre el área total del predio y sobre el área objeto del incentivo. Las zonas de incertidumbre en la clasificación automática se validan en campo antes de cerrar la cartografía.</w:t>
      </w:r>
    </w:p>
    <w:p w14:paraId="53D82B4B" w14:textId="1593FFDE" w:rsidR="00652357" w:rsidRPr="0081375C" w:rsidRDefault="00652357" w:rsidP="00652357">
      <w:pPr>
        <w:spacing w:line="276" w:lineRule="auto"/>
        <w:jc w:val="both"/>
      </w:pPr>
    </w:p>
    <w:p w14:paraId="2701C7C5" w14:textId="77777777" w:rsidR="00652357" w:rsidRPr="0081375C" w:rsidRDefault="00652357" w:rsidP="00652357">
      <w:pPr>
        <w:spacing w:line="276" w:lineRule="auto"/>
        <w:jc w:val="both"/>
      </w:pPr>
      <w:r w:rsidRPr="0081375C">
        <w:rPr>
          <w:rFonts w:ascii="Arial" w:eastAsia="Arial" w:hAnsi="Arial" w:cs="Arial"/>
        </w:rPr>
        <w:t>El tercero es la trayectoria de referencia del NDVI: serie temporal de imágenes satelitales previas al ingreso del predio procesada con ventanas comparables por temporada para evitar sesgos estacionales. La serie debe cubrir al menos dos fechas previas al ingreso y establecer la tendencia de base (ganancia, pérdida o estabilidad de biomasa aérea). La plataforma satelital y la resolución espacial deben estandarizarse desde el establecimiento y mantenerse en los análisis sucesivos para garantizar comparabilidad; mezclar sensores entre periodos produce valores no comparables.</w:t>
      </w:r>
    </w:p>
    <w:p w14:paraId="0A599D26" w14:textId="77777777" w:rsidR="00652357" w:rsidRPr="0081375C" w:rsidRDefault="00652357" w:rsidP="00652357">
      <w:pPr>
        <w:spacing w:line="276" w:lineRule="auto"/>
        <w:jc w:val="both"/>
      </w:pPr>
      <w:r w:rsidRPr="0081375C">
        <w:rPr>
          <w:rFonts w:ascii="Arial" w:eastAsia="Arial" w:hAnsi="Arial" w:cs="Arial"/>
        </w:rPr>
        <w:t xml:space="preserve"> </w:t>
      </w:r>
    </w:p>
    <w:p w14:paraId="2AEE6058" w14:textId="77777777" w:rsidR="00652357" w:rsidRPr="0081375C" w:rsidRDefault="00652357" w:rsidP="00652357">
      <w:pPr>
        <w:spacing w:line="276" w:lineRule="auto"/>
        <w:jc w:val="both"/>
      </w:pPr>
      <w:r w:rsidRPr="0081375C">
        <w:rPr>
          <w:rFonts w:ascii="Arial" w:eastAsia="Arial" w:hAnsi="Arial" w:cs="Arial"/>
        </w:rPr>
        <w:lastRenderedPageBreak/>
        <w:t>El cuarto es la validación en campo: verificación de las zonas de cambio identificadas en la clasificación, con registro fotográfico georreferenciado y observaciones estandarizadas. Cuando el predio es relevante para PSAB, se contrasta también la delimitación con las superficies modeladas de GAM y GDM disponibles, documentando la coincidencia entre áreas prioritarias modeladas y la condición actual.</w:t>
      </w:r>
    </w:p>
    <w:p w14:paraId="15F2E9E3" w14:textId="77777777" w:rsidR="00652357" w:rsidRPr="0081375C" w:rsidRDefault="00652357" w:rsidP="00652357">
      <w:pPr>
        <w:spacing w:line="276" w:lineRule="auto"/>
        <w:jc w:val="both"/>
      </w:pPr>
      <w:r w:rsidRPr="0081375C">
        <w:rPr>
          <w:rFonts w:ascii="Arial" w:eastAsia="Arial" w:hAnsi="Arial" w:cs="Arial"/>
        </w:rPr>
        <w:t xml:space="preserve"> </w:t>
      </w:r>
    </w:p>
    <w:p w14:paraId="23035BBE" w14:textId="77777777" w:rsidR="00652357" w:rsidRPr="0081375C" w:rsidRDefault="00652357" w:rsidP="00652357">
      <w:pPr>
        <w:spacing w:line="276" w:lineRule="auto"/>
        <w:jc w:val="both"/>
      </w:pPr>
      <w:r w:rsidRPr="0081375C">
        <w:rPr>
          <w:rFonts w:ascii="Arial" w:eastAsia="Arial" w:hAnsi="Arial" w:cs="Arial"/>
        </w:rPr>
        <w:t>Los cuatro productos se integran en el informe de línea base espacial por predio, con metadatos completos (fecha, método, responsable, esfuerzo, observaciones y versión de los insumos). Donde sea factible se establece un diseño contrafactual con predios sin PSA que cuenten con serie NDVI equivalente; si no es factible, se documenta como brecha evaluativa. El establecimiento debe completarse dentro de los tres meses siguientes a la firma del acuerdo. La línea base certificada por la Secretaría de Medio Ambiente es condición habilitante para el primer análisis multitemporal; sin ese hito, el ciclo de monitoreo espacial no puede iniciarse.</w:t>
      </w:r>
    </w:p>
    <w:p w14:paraId="50C60EBC" w14:textId="77777777" w:rsidR="00652357" w:rsidRPr="0081375C" w:rsidRDefault="00652357" w:rsidP="729FED67">
      <w:pPr>
        <w:spacing w:line="23" w:lineRule="atLeast"/>
        <w:jc w:val="both"/>
        <w:rPr>
          <w:rFonts w:ascii="Arial" w:eastAsia="Arial" w:hAnsi="Arial" w:cs="Arial"/>
          <w:color w:val="000000" w:themeColor="text1"/>
        </w:rPr>
      </w:pPr>
    </w:p>
    <w:p w14:paraId="7321A28A" w14:textId="77777777" w:rsidR="005C4D42" w:rsidRPr="0081375C" w:rsidRDefault="005C4D42" w:rsidP="729FED67">
      <w:pPr>
        <w:spacing w:line="23" w:lineRule="atLeast"/>
        <w:jc w:val="both"/>
        <w:rPr>
          <w:rFonts w:ascii="Arial" w:eastAsia="Arial" w:hAnsi="Arial" w:cs="Arial"/>
          <w:color w:val="000000" w:themeColor="text1"/>
        </w:rPr>
      </w:pPr>
    </w:p>
    <w:p w14:paraId="61A3D6C8" w14:textId="7E8979CA" w:rsidR="005C4D42" w:rsidRPr="0081375C" w:rsidRDefault="478C555D" w:rsidP="729FED67">
      <w:pPr>
        <w:pStyle w:val="Ttulo5"/>
        <w:spacing w:before="0" w:after="0" w:line="23" w:lineRule="atLeast"/>
        <w:rPr>
          <w:rFonts w:eastAsia="Arial" w:cs="Arial"/>
          <w:color w:val="000000" w:themeColor="text1"/>
        </w:rPr>
      </w:pPr>
      <w:bookmarkStart w:id="125" w:name="_Toc233304212"/>
      <w:r w:rsidRPr="0081375C">
        <w:rPr>
          <w:rFonts w:eastAsia="Arial" w:cs="Arial"/>
          <w:color w:val="000000" w:themeColor="text1"/>
        </w:rPr>
        <w:t xml:space="preserve">3.3.3.2 </w:t>
      </w:r>
      <w:r w:rsidR="25F7D316" w:rsidRPr="0081375C">
        <w:rPr>
          <w:rFonts w:eastAsia="Arial" w:cs="Arial"/>
          <w:color w:val="000000" w:themeColor="text1"/>
        </w:rPr>
        <w:t xml:space="preserve">Monitoreo </w:t>
      </w:r>
      <w:r w:rsidR="00E0155A" w:rsidRPr="0081375C">
        <w:rPr>
          <w:rFonts w:eastAsia="Arial" w:cs="Arial"/>
          <w:color w:val="000000" w:themeColor="text1"/>
        </w:rPr>
        <w:t>d</w:t>
      </w:r>
      <w:r w:rsidR="25F7D316" w:rsidRPr="0081375C">
        <w:rPr>
          <w:rFonts w:eastAsia="Arial" w:cs="Arial"/>
          <w:color w:val="000000" w:themeColor="text1"/>
        </w:rPr>
        <w:t>e Flora</w:t>
      </w:r>
      <w:bookmarkEnd w:id="125"/>
    </w:p>
    <w:p w14:paraId="595423F4" w14:textId="77777777" w:rsidR="005C4D42" w:rsidRPr="0081375C" w:rsidRDefault="005C4D42" w:rsidP="729FED67">
      <w:pPr>
        <w:spacing w:line="23" w:lineRule="atLeast"/>
        <w:rPr>
          <w:rFonts w:ascii="Arial" w:hAnsi="Arial" w:cs="Arial"/>
        </w:rPr>
      </w:pPr>
    </w:p>
    <w:p w14:paraId="5F7DEAE8" w14:textId="77777777"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Caracteriza la estructura, la composición florística y el carbono almacenado en las coberturas boscosas del predio. El establecimiento fija parcelas permanentes codificadas con CBML y la identificación de cada individuo; la ingesta captura las variables </w:t>
      </w:r>
      <w:proofErr w:type="spellStart"/>
      <w:r w:rsidRPr="0081375C">
        <w:rPr>
          <w:rFonts w:ascii="Arial" w:eastAsia="Arial" w:hAnsi="Arial" w:cs="Arial"/>
          <w:color w:val="000000" w:themeColor="text1"/>
        </w:rPr>
        <w:t>dasométricas</w:t>
      </w:r>
      <w:proofErr w:type="spellEnd"/>
      <w:r w:rsidRPr="0081375C">
        <w:rPr>
          <w:rFonts w:ascii="Arial" w:eastAsia="Arial" w:hAnsi="Arial" w:cs="Arial"/>
          <w:color w:val="000000" w:themeColor="text1"/>
        </w:rPr>
        <w:t xml:space="preserve"> y las muestras asociadas; el procesamiento deriva estructura, diversidad, biomasa, carbono y mortalidad entre ciclos; y la evaluación produce indicadores de estado y de cambio comparables entre predios y periodos.</w:t>
      </w:r>
    </w:p>
    <w:p w14:paraId="1DCF52D6" w14:textId="77777777" w:rsidR="005C4D42" w:rsidRPr="0081375C" w:rsidRDefault="005C4D42" w:rsidP="729FED67">
      <w:pPr>
        <w:spacing w:line="23" w:lineRule="atLeast"/>
        <w:jc w:val="both"/>
        <w:rPr>
          <w:rFonts w:ascii="Arial" w:eastAsia="Arial" w:hAnsi="Arial" w:cs="Arial"/>
          <w:color w:val="000000" w:themeColor="text1"/>
        </w:rPr>
      </w:pPr>
    </w:p>
    <w:p w14:paraId="301D556A" w14:textId="6B7278B9"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Es el modo más maduro: cumple la trazabilidad de datos, la comparabilidad temporal y la independencia procedimental, con el inventario forestal nacional como referencia. La trazabilidad evaluativa se establece en la guía.</w:t>
      </w:r>
    </w:p>
    <w:p w14:paraId="3F099D06" w14:textId="77777777" w:rsidR="00F768CF" w:rsidRPr="0081375C" w:rsidRDefault="00F768CF" w:rsidP="729FED67">
      <w:pPr>
        <w:spacing w:line="23" w:lineRule="atLeast"/>
        <w:jc w:val="both"/>
        <w:rPr>
          <w:rFonts w:ascii="Arial" w:eastAsia="Arial" w:hAnsi="Arial" w:cs="Arial"/>
          <w:color w:val="000000" w:themeColor="text1"/>
        </w:rPr>
      </w:pPr>
    </w:p>
    <w:p w14:paraId="705D78B4" w14:textId="7D2B74FE" w:rsidR="00F768CF" w:rsidRPr="0081375C" w:rsidRDefault="00F768CF" w:rsidP="00F768CF">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monitoreo de flora evalúa si el esquema PSA produce cambios positivos en la estructura, composición y reservas de carbono en la cobertura vegetal de los predios participantes, comparados con el estado en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 Esta pregunta evaluativa se vincula al eslabón de resultado (cambio en estructura y composición de la cobertura) y al eslabón de impacto (provisión de servicios ecosistémicos de regulación hídrica, almacenamiento de carbono y soporte de biodiversidad) de la teoría del cambio. El supuesto causal es que la conservación y restauración bajo PSA produce cambios verificables en la estructura forestal (DAP, altura, área basal), composición florística (riqueza, diversidad) y reservas de carbono (biomasa aérea) respecto al estado inicial.</w:t>
      </w:r>
    </w:p>
    <w:p w14:paraId="4CEC8D19" w14:textId="259D41C2" w:rsidR="00F768CF" w:rsidRPr="0081375C" w:rsidRDefault="00F768CF" w:rsidP="00F768CF">
      <w:pPr>
        <w:spacing w:line="23" w:lineRule="atLeast"/>
        <w:jc w:val="both"/>
        <w:rPr>
          <w:rFonts w:ascii="Arial" w:eastAsia="Arial" w:hAnsi="Arial" w:cs="Arial"/>
          <w:color w:val="000000" w:themeColor="text1"/>
        </w:rPr>
      </w:pPr>
    </w:p>
    <w:p w14:paraId="29EDCDBA" w14:textId="77777777" w:rsidR="00F768CF" w:rsidRPr="0081375C" w:rsidRDefault="00F768CF" w:rsidP="00F768CF">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La unidad de muestreo es la parcela circular de 12,62 m de radio (500 m²). El punto central de cada parcela se georreferencia mediante la función de promediado de </w:t>
      </w:r>
      <w:proofErr w:type="spellStart"/>
      <w:r w:rsidRPr="0081375C">
        <w:rPr>
          <w:rFonts w:ascii="Arial" w:eastAsia="Arial" w:hAnsi="Arial" w:cs="Arial"/>
          <w:color w:val="000000" w:themeColor="text1"/>
        </w:rPr>
        <w:t>waypoint</w:t>
      </w:r>
      <w:proofErr w:type="spellEnd"/>
      <w:r w:rsidRPr="0081375C">
        <w:rPr>
          <w:rFonts w:ascii="Arial" w:eastAsia="Arial" w:hAnsi="Arial" w:cs="Arial"/>
          <w:color w:val="000000" w:themeColor="text1"/>
        </w:rPr>
        <w:t xml:space="preserve"> del </w:t>
      </w:r>
      <w:r w:rsidRPr="0081375C">
        <w:rPr>
          <w:rFonts w:ascii="Arial" w:eastAsia="Arial" w:hAnsi="Arial" w:cs="Arial"/>
          <w:color w:val="000000" w:themeColor="text1"/>
        </w:rPr>
        <w:lastRenderedPageBreak/>
        <w:t xml:space="preserve">GPS (esperar el 100% del promediado antes de guardar) y se instala con un estacón central (metálico o un tubo de PVC) con placa de identificación que registra número de parcela, corregimiento, nombre del predio, ID finca, CBML, tipo de restauración y fecha de establecimiento. El código de la parcela concatena número de contrato y número de parcela; las coordenadas se guardan en WGS 84. </w:t>
      </w:r>
    </w:p>
    <w:p w14:paraId="18B9F9BB" w14:textId="77777777" w:rsidR="00F768CF" w:rsidRPr="0081375C" w:rsidRDefault="00F768CF" w:rsidP="00F768CF">
      <w:pPr>
        <w:spacing w:line="23" w:lineRule="atLeast"/>
        <w:jc w:val="both"/>
        <w:rPr>
          <w:rFonts w:ascii="Arial" w:eastAsia="Arial" w:hAnsi="Arial" w:cs="Arial"/>
          <w:color w:val="000000" w:themeColor="text1"/>
        </w:rPr>
      </w:pPr>
    </w:p>
    <w:p w14:paraId="22FA23A7" w14:textId="77777777" w:rsidR="00F768CF" w:rsidRPr="0081375C" w:rsidRDefault="00F768CF" w:rsidP="00F768CF">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Al interior de cada parcela, a todos los individuos con porte arbóreo incluyendo palmas y helechos con altura de 1,3 m sobre el nivel del suelo, se les medirá el diámetro (DAP), en base a las siguientes categorías de tamaño: latizales (2,5 cm ≤ DAP &lt; 10 cm), que serán medidas en un radio de 3 m cada una (28,27 m2) y fustales (DAP ≥ 10 cm), que se censarán en un radio de 12,62 m cada una (500 m2). La marcación inicia desde el individuo más cercano al centro en dirección norte y continúa en sentido horario. Cada individuo recibe una plaqueta con identificador único (código de parcela + número de individuo + decimal para bifurcaciones). </w:t>
      </w:r>
    </w:p>
    <w:p w14:paraId="04D225D1" w14:textId="77777777" w:rsidR="00F768CF" w:rsidRPr="0081375C" w:rsidRDefault="00F768CF" w:rsidP="00F768CF">
      <w:pPr>
        <w:spacing w:line="23" w:lineRule="atLeast"/>
        <w:jc w:val="both"/>
        <w:rPr>
          <w:rFonts w:ascii="Arial" w:eastAsia="Arial" w:hAnsi="Arial" w:cs="Arial"/>
          <w:color w:val="000000" w:themeColor="text1"/>
        </w:rPr>
      </w:pPr>
    </w:p>
    <w:p w14:paraId="320D7875" w14:textId="1F979F08" w:rsidR="00F768CF" w:rsidRPr="0081375C" w:rsidRDefault="00F768CF" w:rsidP="00F768CF">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Además, se medirá el 40% de la altura total y de fuste de todos los fustales y latizales. A cada individuo censado se le registrará su distancia y azimut con respecto al centro de la parcela y las variables cualitativas como: condición, forma de fuste y daño. Asimismo, se le colectará una muestra botánica a cada individuo registrado. La identificación de las muestras se realizará mediante la comparación con material depositado en herbarios y con la ayuda de especialistas botánicos.</w:t>
      </w:r>
    </w:p>
    <w:p w14:paraId="0C89DAB2" w14:textId="77777777" w:rsidR="00F768CF" w:rsidRPr="0081375C" w:rsidRDefault="00F768CF" w:rsidP="00F768CF">
      <w:pPr>
        <w:spacing w:line="23" w:lineRule="atLeast"/>
        <w:jc w:val="both"/>
        <w:rPr>
          <w:rFonts w:ascii="Arial" w:eastAsia="Arial" w:hAnsi="Arial" w:cs="Arial"/>
          <w:color w:val="000000" w:themeColor="text1"/>
        </w:rPr>
      </w:pPr>
    </w:p>
    <w:p w14:paraId="5EE60455" w14:textId="1AF0278D" w:rsidR="00F768CF" w:rsidRPr="0081375C" w:rsidRDefault="65049D20" w:rsidP="00F768CF">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Los productos del establecimiento son la base de datos </w:t>
      </w:r>
      <w:proofErr w:type="spellStart"/>
      <w:r w:rsidRPr="0081375C">
        <w:rPr>
          <w:rFonts w:ascii="Arial" w:eastAsia="Arial" w:hAnsi="Arial" w:cs="Arial"/>
          <w:color w:val="000000" w:themeColor="text1"/>
        </w:rPr>
        <w:t>dasométrica</w:t>
      </w:r>
      <w:proofErr w:type="spellEnd"/>
      <w:r w:rsidRPr="0081375C">
        <w:rPr>
          <w:rFonts w:ascii="Arial" w:eastAsia="Arial" w:hAnsi="Arial" w:cs="Arial"/>
          <w:color w:val="000000" w:themeColor="text1"/>
        </w:rPr>
        <w:t xml:space="preserve"> (formularios y GDB con bases alfanumérica y geoespacial coincidentes en completitud), las parcelas ingresadas al SAU según el Manual SAU perfil área forestal, el informe de línea base forestal y la matriz de trazabilidad que vincula cada pregunta evaluativa con sus variables, métricas y eslabón de la teoría del cambio. El informe de línea base incluye caracterización de coberturas (mapa Corine Land Cover), estructura de la vegetación (árboles/</w:t>
      </w:r>
      <w:proofErr w:type="spellStart"/>
      <w:r w:rsidRPr="0081375C">
        <w:rPr>
          <w:rFonts w:ascii="Arial" w:eastAsia="Arial" w:hAnsi="Arial" w:cs="Arial"/>
          <w:color w:val="000000" w:themeColor="text1"/>
        </w:rPr>
        <w:t>ha</w:t>
      </w:r>
      <w:proofErr w:type="spellEnd"/>
      <w:r w:rsidRPr="0081375C">
        <w:rPr>
          <w:rFonts w:ascii="Arial" w:eastAsia="Arial" w:hAnsi="Arial" w:cs="Arial"/>
          <w:color w:val="000000" w:themeColor="text1"/>
        </w:rPr>
        <w:t>, área basal, distribución diamétrica y de alturas), composición florística (</w:t>
      </w:r>
      <w:proofErr w:type="spellStart"/>
      <w:r w:rsidRPr="0081375C">
        <w:rPr>
          <w:rFonts w:ascii="Arial" w:eastAsia="Arial" w:hAnsi="Arial" w:cs="Arial"/>
          <w:color w:val="000000" w:themeColor="text1"/>
        </w:rPr>
        <w:t>IVIf</w:t>
      </w:r>
      <w:proofErr w:type="spellEnd"/>
      <w:r w:rsidRPr="0081375C">
        <w:rPr>
          <w:rFonts w:ascii="Arial" w:eastAsia="Arial" w:hAnsi="Arial" w:cs="Arial"/>
          <w:color w:val="000000" w:themeColor="text1"/>
        </w:rPr>
        <w:t>, IVI por familia y especie), diversidad α (Shannon, Simpson, equitatividad, Fisher α) y β (Sørensen), estimación de biomasa aérea y de raíces, carbono almacenado y equivalente CO</w:t>
      </w:r>
      <w:r w:rsidRPr="0081375C">
        <w:rPr>
          <w:rFonts w:ascii="Cambria Math" w:eastAsia="Arial" w:hAnsi="Cambria Math" w:cs="Cambria Math"/>
          <w:color w:val="000000" w:themeColor="text1"/>
        </w:rPr>
        <w:t>₂</w:t>
      </w:r>
      <w:proofErr w:type="gramStart"/>
      <w:r w:rsidRPr="0081375C">
        <w:rPr>
          <w:rFonts w:ascii="Arial" w:eastAsia="Arial" w:hAnsi="Arial" w:cs="Arial"/>
          <w:color w:val="000000" w:themeColor="text1"/>
        </w:rPr>
        <w:t>, .</w:t>
      </w:r>
      <w:proofErr w:type="gramEnd"/>
      <w:r w:rsidRPr="0081375C">
        <w:rPr>
          <w:rFonts w:ascii="Arial" w:eastAsia="Arial" w:hAnsi="Arial" w:cs="Arial"/>
          <w:color w:val="000000" w:themeColor="text1"/>
        </w:rPr>
        <w:t xml:space="preserve"> Se incluye también el estado de conservación de las especies según Resolución 126 de 2024, UICN, CITES y Libro Rojo de Plantas de Colombia. El establecimiento se completa dentro de los seis meses siguientes a la firma del acuerdo. La línea base debe ser certificada por la Secretaría de Medio Ambiente antes de la primera remedición; sin ese hito no hay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 xml:space="preserve"> de referencia y el ciclo de monitoreo forestal no puede iniciarse.</w:t>
      </w:r>
    </w:p>
    <w:p w14:paraId="2CD2AACA" w14:textId="77777777" w:rsidR="005C4D42" w:rsidRPr="0081375C" w:rsidRDefault="005C4D42" w:rsidP="729FED67">
      <w:pPr>
        <w:spacing w:line="23" w:lineRule="atLeast"/>
        <w:jc w:val="both"/>
        <w:rPr>
          <w:rFonts w:ascii="Arial" w:eastAsia="Arial" w:hAnsi="Arial" w:cs="Arial"/>
          <w:color w:val="000000" w:themeColor="text1"/>
        </w:rPr>
      </w:pPr>
    </w:p>
    <w:p w14:paraId="62EF981F" w14:textId="17A22D56" w:rsidR="005C4D42" w:rsidRPr="0081375C" w:rsidRDefault="242F1E49" w:rsidP="729FED67">
      <w:pPr>
        <w:pStyle w:val="Ttulo5"/>
        <w:spacing w:before="0" w:after="0" w:line="23" w:lineRule="atLeast"/>
        <w:rPr>
          <w:rFonts w:eastAsia="Arial" w:cs="Arial"/>
          <w:color w:val="000000" w:themeColor="text1"/>
        </w:rPr>
      </w:pPr>
      <w:bookmarkStart w:id="126" w:name="_Toc233304213"/>
      <w:r w:rsidRPr="0081375C">
        <w:rPr>
          <w:rFonts w:eastAsia="Arial" w:cs="Arial"/>
          <w:color w:val="000000" w:themeColor="text1"/>
        </w:rPr>
        <w:t xml:space="preserve">3.3.3.3 </w:t>
      </w:r>
      <w:r w:rsidR="25F7D316" w:rsidRPr="0081375C">
        <w:rPr>
          <w:rFonts w:eastAsia="Arial" w:cs="Arial"/>
          <w:color w:val="000000" w:themeColor="text1"/>
        </w:rPr>
        <w:t>Monitoreo De Fauna</w:t>
      </w:r>
      <w:bookmarkEnd w:id="126"/>
    </w:p>
    <w:p w14:paraId="07FB078F" w14:textId="77777777" w:rsidR="005C4D42" w:rsidRPr="0081375C" w:rsidRDefault="005C4D42" w:rsidP="729FED67">
      <w:pPr>
        <w:spacing w:line="23" w:lineRule="atLeast"/>
        <w:rPr>
          <w:rFonts w:ascii="Arial" w:hAnsi="Arial" w:cs="Arial"/>
        </w:rPr>
      </w:pPr>
    </w:p>
    <w:p w14:paraId="496FB9FB" w14:textId="77777777" w:rsidR="005C4D42" w:rsidRPr="0081375C" w:rsidRDefault="25F7D316" w:rsidP="729FED67">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Caracteriza la composición y la abundancia relativa de la fauna a partir de grupos bioindicadores. El establecimiento fija el alcance, los grupos taxonómicos y el momento de la línea base; la ingesta captura presencia y abundancia con métodos estandarizados por grupo, en el estándar Darwin Core de registro de biodiversidad; el procesamiento </w:t>
      </w:r>
      <w:r w:rsidRPr="0081375C">
        <w:rPr>
          <w:rFonts w:ascii="Arial" w:eastAsia="Arial" w:hAnsi="Arial" w:cs="Arial"/>
          <w:color w:val="000000" w:themeColor="text1"/>
        </w:rPr>
        <w:lastRenderedPageBreak/>
        <w:t>normaliza los registros y deriva diversidad, gremios y categorías de amenaza; y la evaluación produce indicadores de riqueza, abundancia y presencia de especies sensibles, comparados con la línea base.</w:t>
      </w:r>
    </w:p>
    <w:p w14:paraId="471CAAA6" w14:textId="77777777" w:rsidR="00743672" w:rsidRPr="0081375C" w:rsidRDefault="00743672" w:rsidP="729FED67">
      <w:pPr>
        <w:spacing w:line="23" w:lineRule="atLeast"/>
        <w:jc w:val="both"/>
        <w:rPr>
          <w:rFonts w:ascii="Arial" w:eastAsia="Arial" w:hAnsi="Arial" w:cs="Arial"/>
          <w:color w:val="000000" w:themeColor="text1"/>
        </w:rPr>
      </w:pPr>
    </w:p>
    <w:p w14:paraId="5C02A195"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El monitoreo de fauna evalúa si el esquema PSA produce cambios positivos en la comunidad de fauna de los predios participantes, comparados con el estado en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 xml:space="preserve">. Esta pregunta se vincula al eslabón de resultado (cambio en condición del hábitat y diversidad biológica) y al eslabón de impacto (provisión de servicios ecosistémicos de biodiversidad y conectividad). El supuesto causal es que la conservación y restauración de cobertura vegetal mejora la calidad del hábitat y produce cambios positivos en diversidad, abundancia y composición de comunidades de fauna </w:t>
      </w:r>
      <w:proofErr w:type="spellStart"/>
      <w:r w:rsidRPr="0081375C">
        <w:rPr>
          <w:rFonts w:ascii="Arial" w:eastAsia="Arial" w:hAnsi="Arial" w:cs="Arial"/>
          <w:color w:val="000000" w:themeColor="text1"/>
        </w:rPr>
        <w:t>bioindicadora</w:t>
      </w:r>
      <w:proofErr w:type="spellEnd"/>
      <w:r w:rsidRPr="0081375C">
        <w:rPr>
          <w:rFonts w:ascii="Arial" w:eastAsia="Arial" w:hAnsi="Arial" w:cs="Arial"/>
          <w:color w:val="000000" w:themeColor="text1"/>
        </w:rPr>
        <w:t>.</w:t>
      </w:r>
    </w:p>
    <w:p w14:paraId="6BFDA918" w14:textId="64FFB3EB" w:rsidR="00743672" w:rsidRPr="0081375C" w:rsidRDefault="00743672" w:rsidP="00743672">
      <w:pPr>
        <w:spacing w:line="23" w:lineRule="atLeast"/>
        <w:jc w:val="both"/>
        <w:rPr>
          <w:rFonts w:ascii="Arial" w:eastAsia="Arial" w:hAnsi="Arial" w:cs="Arial"/>
          <w:color w:val="000000" w:themeColor="text1"/>
        </w:rPr>
      </w:pPr>
    </w:p>
    <w:p w14:paraId="7D4CE0FF"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Antes de diseñar el muestreo, se verifica que cada grupo taxonómico y variable propuesta es trazable a ese eslabón y a esa pregunta. Se seleccionan los grupos taxonómicos según la cobertura disponible, los objetivos del acuerdo y la factibilidad logística. Los grupos elegibles, con su función </w:t>
      </w:r>
      <w:proofErr w:type="spellStart"/>
      <w:r w:rsidRPr="0081375C">
        <w:rPr>
          <w:rFonts w:ascii="Arial" w:eastAsia="Arial" w:hAnsi="Arial" w:cs="Arial"/>
          <w:color w:val="000000" w:themeColor="text1"/>
        </w:rPr>
        <w:t>bioindicadora</w:t>
      </w:r>
      <w:proofErr w:type="spellEnd"/>
      <w:r w:rsidRPr="0081375C">
        <w:rPr>
          <w:rFonts w:ascii="Arial" w:eastAsia="Arial" w:hAnsi="Arial" w:cs="Arial"/>
          <w:color w:val="000000" w:themeColor="text1"/>
        </w:rPr>
        <w:t xml:space="preserve"> y sus requerimientos de permiso de colecta, son los siguientes: las aves (indicadoras de calidad de hábitat y fragmentación), la </w:t>
      </w:r>
      <w:proofErr w:type="spellStart"/>
      <w:r w:rsidRPr="0081375C">
        <w:rPr>
          <w:rFonts w:ascii="Arial" w:eastAsia="Arial" w:hAnsi="Arial" w:cs="Arial"/>
          <w:color w:val="000000" w:themeColor="text1"/>
        </w:rPr>
        <w:t>herpetofauna</w:t>
      </w:r>
      <w:proofErr w:type="spellEnd"/>
      <w:r w:rsidRPr="0081375C">
        <w:rPr>
          <w:rFonts w:ascii="Arial" w:eastAsia="Arial" w:hAnsi="Arial" w:cs="Arial"/>
          <w:color w:val="000000" w:themeColor="text1"/>
        </w:rPr>
        <w:t xml:space="preserve"> (indicadora de humedad, cobertura y fragmentación), los mamíferos (indicadores de conectividad y calidad de hábitat), las hormigas (indicadoras de estructura del suelo y microhábitat) y las mariposas (indicadoras de regeneración ecológica y estado de cobertura). Los métodos que requieren permiso de colecta vigente antes de ejecutarse son: redes de niebla para aves, trampas Sherman y redes para quirópteros en mamíferos, cualquier colecta de hormigas, y el uso de la jama para mariposas no identificables visualmente.</w:t>
      </w:r>
    </w:p>
    <w:p w14:paraId="09608A68"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 </w:t>
      </w:r>
    </w:p>
    <w:p w14:paraId="57AA5D52"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Los métodos y el esfuerzo mínimo por grupo son los siguientes. Para aves: búsqueda intensiva (mínimo 4 repeticiones por cobertura, ritmo 1 km/h, esfuerzo en IKA), puntos fijos de radio 25 m (mínimo 4 visitas por punto de 10–15 minutos, ventana 06:00–10:00), transectos de ancho fijo de 50 m (mínimo 4 transectos separados ≥200 m), y monitoreo acústico pasivo (PAM, mínimo 7–15 días continuos por sensor a ≥44,1 kHz con sensores separados ≥250 m). Para </w:t>
      </w:r>
      <w:proofErr w:type="spellStart"/>
      <w:r w:rsidRPr="0081375C">
        <w:rPr>
          <w:rFonts w:ascii="Arial" w:eastAsia="Arial" w:hAnsi="Arial" w:cs="Arial"/>
          <w:color w:val="000000" w:themeColor="text1"/>
        </w:rPr>
        <w:t>herpetofauna</w:t>
      </w:r>
      <w:proofErr w:type="spellEnd"/>
      <w:r w:rsidRPr="0081375C">
        <w:rPr>
          <w:rFonts w:ascii="Arial" w:eastAsia="Arial" w:hAnsi="Arial" w:cs="Arial"/>
          <w:color w:val="000000" w:themeColor="text1"/>
        </w:rPr>
        <w:t>: VES en transectos o parcelas en franjas diurna (08:00–12:00) y nocturna (18:00–22:00), y registros auditivos en persona-hora preferiblemente en época reproductiva. Para mamíferos: búsqueda indirecta (rastros) en transectos fijos entre 06:00–10:00, recorridos nocturnos entre 17:00–21:00, cámaras trampa (mínimo 20 cámara-día/mes, estaciones separadas ≥100 m), y métodos con permiso (trampas Sherman, 20 estaciones de 2 trampas 4 noches; redes de niebla para quirópteros, mínimo 2 redes 3 días entre 17:00–20:00). Para hormigas: combinación de Winkler, trampas de caída y cebo, en 4 transectos de 10 estaciones por cobertura, 48 horas de exposición. Para mariposas: transectos de ancho fijo (3–5 repeticiones, 09:00–15:00), búsqueda libre por tiempo, y trampa Van Someren Rydon (6 trampas por transecto de 250 m a separación de 50 m, 48 horas con revisión cada 3 horas).</w:t>
      </w:r>
    </w:p>
    <w:p w14:paraId="3DCAECB4"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 </w:t>
      </w:r>
    </w:p>
    <w:p w14:paraId="2CE78E08"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lastRenderedPageBreak/>
        <w:t>Todas las unidades de muestreo (transectos T[n], puntos P[n], estaciones E[n]) reciben identificadores persistentes y se georreferencian. Donde sea factible se establece un diseño contrafactual con predios sin PSA de coberturas y contexto paisajístico comparables; si no es factible, se documenta como brecha evaluativa con justificación.</w:t>
      </w:r>
    </w:p>
    <w:p w14:paraId="4A409E2D" w14:textId="77777777"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 </w:t>
      </w:r>
    </w:p>
    <w:p w14:paraId="67BC79B9" w14:textId="2C00F2F3" w:rsidR="00743672" w:rsidRPr="0081375C" w:rsidRDefault="00743672" w:rsidP="00743672">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La primera ronda completa de muestreo (línea base) cubre todas las coberturas y los grupos seleccionados, y debe completarse dentro de los seis meses siguientes a la firma del acuerdo. Los registros se estructuran en base de datos Darwin Core – SIAMED (versión vigente del Distrito de Medellín); las bases alfanumérica y geoespacial deben ser coincidentes en completitud y estructura antes de la entrega. Los productos son la base de datos Darwin Core-SIAMED con capa SIG de unidades de muestreo, el informe de línea base de fauna (composición, riqueza y abundancia relativa por grupo y cobertura; índices calculados; esfuerzo reportado; fichas de especies de importancia ecológica), registro fotográfico de especies y la matriz de trazabilidad que vincula cada variable y métrica a un eslabón de la teoría del cambio. La línea base debe ser certificada por la Secretaría antes de la primera campaña; sin ese hito, el ciclo de monitoreo de fauna no puede iniciarse.</w:t>
      </w:r>
    </w:p>
    <w:p w14:paraId="3703CE31" w14:textId="58CDD0A2" w:rsidR="005C4D42" w:rsidRPr="0081375C" w:rsidRDefault="005C4D42" w:rsidP="729FED67">
      <w:pPr>
        <w:spacing w:line="23" w:lineRule="atLeast"/>
        <w:jc w:val="both"/>
        <w:rPr>
          <w:rFonts w:ascii="Arial" w:eastAsia="Arial" w:hAnsi="Arial" w:cs="Arial"/>
          <w:color w:val="000000" w:themeColor="text1"/>
        </w:rPr>
      </w:pPr>
    </w:p>
    <w:p w14:paraId="6F8C2C97" w14:textId="419658C7" w:rsidR="005C4D42" w:rsidRPr="0081375C" w:rsidRDefault="2075EB67" w:rsidP="729FED67">
      <w:pPr>
        <w:pStyle w:val="Ttulo5"/>
        <w:spacing w:before="0" w:after="0" w:line="23" w:lineRule="atLeast"/>
        <w:rPr>
          <w:rFonts w:eastAsia="Arial" w:cs="Arial"/>
          <w:color w:val="000000" w:themeColor="text1"/>
        </w:rPr>
      </w:pPr>
      <w:bookmarkStart w:id="127" w:name="_Toc233304214"/>
      <w:r w:rsidRPr="0081375C">
        <w:rPr>
          <w:rFonts w:eastAsia="Arial" w:cs="Arial"/>
          <w:color w:val="000000" w:themeColor="text1"/>
        </w:rPr>
        <w:t xml:space="preserve">3.3.3.4 </w:t>
      </w:r>
      <w:r w:rsidR="25F7D316" w:rsidRPr="0081375C">
        <w:rPr>
          <w:rFonts w:eastAsia="Arial" w:cs="Arial"/>
          <w:color w:val="000000" w:themeColor="text1"/>
        </w:rPr>
        <w:t>Monitoreo Hídrico</w:t>
      </w:r>
      <w:bookmarkEnd w:id="127"/>
    </w:p>
    <w:p w14:paraId="3B731653" w14:textId="77777777" w:rsidR="005C4D42" w:rsidRPr="0081375C" w:rsidRDefault="005C4D42" w:rsidP="729FED67">
      <w:pPr>
        <w:spacing w:line="23" w:lineRule="atLeast"/>
        <w:rPr>
          <w:rFonts w:ascii="Arial" w:hAnsi="Arial" w:cs="Arial"/>
        </w:rPr>
      </w:pPr>
    </w:p>
    <w:p w14:paraId="2B9B5F03" w14:textId="77777777" w:rsidR="005C4D42" w:rsidRPr="0081375C" w:rsidRDefault="25F7D316" w:rsidP="00E0155A">
      <w:pPr>
        <w:jc w:val="both"/>
        <w:rPr>
          <w:rFonts w:ascii="Arial" w:eastAsia="Arial" w:hAnsi="Arial" w:cs="Arial"/>
          <w:color w:val="000000" w:themeColor="text1"/>
        </w:rPr>
      </w:pPr>
      <w:r w:rsidRPr="0081375C">
        <w:rPr>
          <w:rFonts w:ascii="Arial" w:eastAsia="Arial" w:hAnsi="Arial" w:cs="Arial"/>
          <w:color w:val="000000" w:themeColor="text1"/>
        </w:rPr>
        <w:t>Sigue la calidad fisicoquímica y microbiológica del agua en las microcuencas abastecedoras asociadas al predio, para valorar el efecto de la conservación sobre el recurso. El establecimiento prioriza microcuencas y fija puntos dentro y fuera del esquema; la ingesta capta muestras en temporada seca y lluviosa por laboratorios acreditados; el procesamiento calcula índices de calidad y de contaminación; y la evaluación los clasifica en rangos comparando puntos del esquema con los de control.</w:t>
      </w:r>
    </w:p>
    <w:p w14:paraId="2E9D8D36" w14:textId="77777777" w:rsidR="005C4D42" w:rsidRPr="0081375C" w:rsidRDefault="005C4D42" w:rsidP="00E0155A">
      <w:pPr>
        <w:jc w:val="both"/>
        <w:rPr>
          <w:rFonts w:ascii="Arial" w:eastAsia="Arial" w:hAnsi="Arial" w:cs="Arial"/>
          <w:color w:val="000000" w:themeColor="text1"/>
        </w:rPr>
      </w:pPr>
    </w:p>
    <w:p w14:paraId="4BC5CA98" w14:textId="3CC32EB5" w:rsidR="005C4D42" w:rsidRPr="0081375C" w:rsidRDefault="25F7D316" w:rsidP="00E0155A">
      <w:pPr>
        <w:jc w:val="both"/>
        <w:rPr>
          <w:rFonts w:ascii="Arial" w:eastAsia="Arial" w:hAnsi="Arial" w:cs="Arial"/>
          <w:color w:val="000000" w:themeColor="text1"/>
        </w:rPr>
      </w:pPr>
      <w:r w:rsidRPr="0081375C">
        <w:rPr>
          <w:rFonts w:ascii="Arial" w:eastAsia="Arial" w:hAnsi="Arial" w:cs="Arial"/>
          <w:color w:val="000000" w:themeColor="text1"/>
        </w:rPr>
        <w:t>El método se externaliza en el documento y la trazabilidad evaluativa se establece en la guía. Quedan parciales la trazabilidad de datos, por la custodia campo a laboratorio no normada, y la comparabilidad temporal y la idempotencia, porque los puntos aún no están validados en campo. Es uno de los instrumentos aún no protocolizados por completo.</w:t>
      </w:r>
    </w:p>
    <w:p w14:paraId="1F931641" w14:textId="77777777" w:rsidR="004D081D" w:rsidRPr="0081375C" w:rsidRDefault="004D081D" w:rsidP="00E0155A">
      <w:pPr>
        <w:jc w:val="both"/>
        <w:rPr>
          <w:rFonts w:ascii="Arial" w:eastAsia="Arial" w:hAnsi="Arial" w:cs="Arial"/>
          <w:color w:val="000000" w:themeColor="text1"/>
        </w:rPr>
      </w:pPr>
    </w:p>
    <w:p w14:paraId="101FED1A" w14:textId="77777777" w:rsidR="004D081D" w:rsidRPr="0081375C" w:rsidRDefault="004D081D" w:rsidP="00E0155A">
      <w:pPr>
        <w:jc w:val="both"/>
      </w:pPr>
      <w:r w:rsidRPr="0081375C">
        <w:rPr>
          <w:rFonts w:ascii="Arial" w:eastAsia="Arial" w:hAnsi="Arial" w:cs="Arial"/>
        </w:rPr>
        <w:t>El monitoreo hídrico fisicoquímico evalúa si la conservación y restauración en predios participantes del esquema mejora o sostiene la calidad del agua frente a áreas no intervenidas en la misma microcuenca. La pregunta evaluativa se vincula al eslabón de resultado (mantenimiento o mejora de la calidad del agua en microcuencas abastecedoras) y al eslabón de impacto (provisión del servicio ecosistémico de regulación hídrica y suministro de agua para consumo humano). El supuesto causal es que las acciones de conservación y restauración bajo PSA producen efectos verificables en la composición fisicoquímica y biológica del agua en las microcuencas de influencia.</w:t>
      </w:r>
    </w:p>
    <w:p w14:paraId="33D7AB41" w14:textId="77777777" w:rsidR="004D081D" w:rsidRPr="0081375C" w:rsidRDefault="004D081D" w:rsidP="00E0155A">
      <w:pPr>
        <w:jc w:val="both"/>
      </w:pPr>
      <w:r w:rsidRPr="0081375C">
        <w:rPr>
          <w:rFonts w:ascii="Arial" w:eastAsia="Arial" w:hAnsi="Arial" w:cs="Arial"/>
        </w:rPr>
        <w:t xml:space="preserve"> </w:t>
      </w:r>
    </w:p>
    <w:p w14:paraId="73D1A7EA" w14:textId="77777777" w:rsidR="004D081D" w:rsidRPr="0081375C" w:rsidRDefault="004D081D" w:rsidP="00E0155A">
      <w:pPr>
        <w:jc w:val="both"/>
      </w:pPr>
      <w:r w:rsidRPr="0081375C">
        <w:rPr>
          <w:rFonts w:ascii="Arial" w:eastAsia="Arial" w:hAnsi="Arial" w:cs="Arial"/>
        </w:rPr>
        <w:t xml:space="preserve">El establecimiento produce la configuración operativa que habilita las campañas de campo. Solo aplica a predios vinculados al esquema PSAH desde hace mínimo dos años, </w:t>
      </w:r>
      <w:r w:rsidRPr="0081375C">
        <w:rPr>
          <w:rFonts w:ascii="Arial" w:eastAsia="Arial" w:hAnsi="Arial" w:cs="Arial"/>
        </w:rPr>
        <w:lastRenderedPageBreak/>
        <w:t>asociados a microcuencas abastecedoras priorizadas por la matriz multicriterio, y que cuenten con al menos una fuente hídrica permanente accesible.</w:t>
      </w:r>
    </w:p>
    <w:p w14:paraId="4D23AAE7" w14:textId="77777777" w:rsidR="004D081D" w:rsidRPr="0081375C" w:rsidRDefault="004D081D" w:rsidP="00E0155A">
      <w:pPr>
        <w:jc w:val="both"/>
      </w:pPr>
      <w:r w:rsidRPr="0081375C">
        <w:rPr>
          <w:rFonts w:ascii="Arial" w:eastAsia="Arial" w:hAnsi="Arial" w:cs="Arial"/>
        </w:rPr>
        <w:t xml:space="preserve"> </w:t>
      </w:r>
    </w:p>
    <w:p w14:paraId="6C603329" w14:textId="5927F280" w:rsidR="004D081D" w:rsidRPr="0081375C" w:rsidRDefault="004D081D" w:rsidP="00E0155A">
      <w:pPr>
        <w:jc w:val="both"/>
      </w:pPr>
      <w:r w:rsidRPr="0081375C">
        <w:rPr>
          <w:rFonts w:ascii="Arial" w:eastAsia="Arial" w:hAnsi="Arial" w:cs="Arial"/>
        </w:rPr>
        <w:t>La configuración se estructura en cuatro decisiones articuladas. La primera es la identificación y priorización de microcuencas: se mapean las cuencas hidrográficas y abastecedoras asociadas, se verifica el puntaje de cada microcuenca en la matriz multicriterio (ponderado de suscriptores abastecidos, área PSAH en la microcuenca y antigüedad de predios) y se seleccionan las microcuencas que alcanzan el umbral de priorización.</w:t>
      </w:r>
    </w:p>
    <w:p w14:paraId="4197A488" w14:textId="77777777" w:rsidR="004D081D" w:rsidRPr="0081375C" w:rsidRDefault="004D081D" w:rsidP="00E0155A">
      <w:pPr>
        <w:jc w:val="both"/>
      </w:pPr>
      <w:r w:rsidRPr="0081375C">
        <w:rPr>
          <w:rFonts w:ascii="Arial" w:eastAsia="Arial" w:hAnsi="Arial" w:cs="Arial"/>
        </w:rPr>
        <w:t xml:space="preserve"> </w:t>
      </w:r>
    </w:p>
    <w:p w14:paraId="718FB9F7" w14:textId="77777777" w:rsidR="004D081D" w:rsidRPr="0081375C" w:rsidRDefault="004D081D" w:rsidP="00E0155A">
      <w:pPr>
        <w:jc w:val="both"/>
      </w:pPr>
      <w:r w:rsidRPr="0081375C">
        <w:rPr>
          <w:rFonts w:ascii="Arial" w:eastAsia="Arial" w:hAnsi="Arial" w:cs="Arial"/>
        </w:rPr>
        <w:t xml:space="preserve">La segunda decisión es la definición de puntos de muestreo. Para cada microcuenca priorizada se define un punto de muestreo dentro de predios PSA (punto P) y un punto de control fuera del esquema en la misma microcuenca (punto F). El par P/F es la unidad mínima de comparación del monitoreo: un punto P sin su F correspondiente solo produce descripción del estado del agua y no permite evaluación del esquema. Los puntos se ubican preferiblemente en sectores con probabilidad de cambios significativos en calidad, confluencias y bifurcaciones de cauces, y tramos de referencia no afectados por descargas puntuales. Antes de definir puntos nuevos, se consultan los puntos ya monitoreados por el proyecto </w:t>
      </w:r>
      <w:proofErr w:type="spellStart"/>
      <w:r w:rsidRPr="0081375C">
        <w:rPr>
          <w:rFonts w:ascii="Arial" w:eastAsia="Arial" w:hAnsi="Arial" w:cs="Arial"/>
        </w:rPr>
        <w:t>Guardacuencas</w:t>
      </w:r>
      <w:proofErr w:type="spellEnd"/>
      <w:r w:rsidRPr="0081375C">
        <w:rPr>
          <w:rFonts w:ascii="Arial" w:eastAsia="Arial" w:hAnsi="Arial" w:cs="Arial"/>
        </w:rPr>
        <w:t xml:space="preserve"> en la misma microcuenca para evitar duplicidad: si existe un punto </w:t>
      </w:r>
      <w:proofErr w:type="spellStart"/>
      <w:r w:rsidRPr="0081375C">
        <w:rPr>
          <w:rFonts w:ascii="Arial" w:eastAsia="Arial" w:hAnsi="Arial" w:cs="Arial"/>
        </w:rPr>
        <w:t>Guardacuencas</w:t>
      </w:r>
      <w:proofErr w:type="spellEnd"/>
      <w:r w:rsidRPr="0081375C">
        <w:rPr>
          <w:rFonts w:ascii="Arial" w:eastAsia="Arial" w:hAnsi="Arial" w:cs="Arial"/>
        </w:rPr>
        <w:t>, sus datos se incorporan como complemento y no se define punto adicional; si no existe, se define punto nuevo. Cuando no hay fuente hídrica permanente accesible dentro del predio, se documenta como limitación y se evalúa si puede definirse un punto representativo aguas abajo; si no es posible, el predio queda excluido de esta campaña.</w:t>
      </w:r>
    </w:p>
    <w:p w14:paraId="31DE1A4A" w14:textId="77777777" w:rsidR="004D081D" w:rsidRPr="0081375C" w:rsidRDefault="004D081D" w:rsidP="00E0155A">
      <w:pPr>
        <w:jc w:val="both"/>
      </w:pPr>
      <w:r w:rsidRPr="0081375C">
        <w:rPr>
          <w:rFonts w:ascii="Arial" w:eastAsia="Arial" w:hAnsi="Arial" w:cs="Arial"/>
        </w:rPr>
        <w:t xml:space="preserve"> </w:t>
      </w:r>
    </w:p>
    <w:p w14:paraId="30A34F8B" w14:textId="5C5B7319" w:rsidR="004D081D" w:rsidRPr="0081375C" w:rsidRDefault="004D081D" w:rsidP="00E0155A">
      <w:pPr>
        <w:jc w:val="both"/>
      </w:pPr>
      <w:r w:rsidRPr="0081375C">
        <w:rPr>
          <w:rFonts w:ascii="Arial" w:eastAsia="Arial" w:hAnsi="Arial" w:cs="Arial"/>
        </w:rPr>
        <w:t>La tercera decisión es el establecimiento de temporadas de muestreo y la selección de parámetros. Se definen dos campañas anuales correspondientes a la temporada seca (diciembre a febrero y junio a agosto) y a la temporada lluviosa (marzo a mayo y septiembre a noviembre), con ajuste por fenómenos El Niño o La Niña cuando sea pertinente. El conjunto estándar de parámetros incluye oxígeno disuelto, pH, conductividad, temperatura del agua y ambiental, alcalinidad, color, DBO5, DQO, dureza, fósforo total, fosfatos, grasas y aceites, nitratos, surfactantes, sólidos suspendidos totales, sólidos disueltos totales, sólidos totales, turbidez, coliformes totales, coliformes fecales y caudal</w:t>
      </w:r>
      <w:r w:rsidR="00C95135" w:rsidRPr="0081375C">
        <w:rPr>
          <w:rFonts w:ascii="Arial" w:eastAsia="Arial" w:hAnsi="Arial" w:cs="Arial"/>
        </w:rPr>
        <w:t xml:space="preserve"> líquido</w:t>
      </w:r>
      <w:r w:rsidRPr="0081375C">
        <w:rPr>
          <w:rFonts w:ascii="Arial" w:eastAsia="Arial" w:hAnsi="Arial" w:cs="Arial"/>
        </w:rPr>
        <w:t xml:space="preserve">. En microcuencas con actividad agrícola identificada se añaden a la configuración los parámetros de pesticidas organoclorados y organofosforados. </w:t>
      </w:r>
      <w:proofErr w:type="gramStart"/>
      <w:r w:rsidRPr="0081375C">
        <w:rPr>
          <w:rFonts w:ascii="Arial" w:eastAsia="Arial" w:hAnsi="Arial" w:cs="Arial"/>
        </w:rPr>
        <w:t>Los índices a calcular</w:t>
      </w:r>
      <w:proofErr w:type="gramEnd"/>
      <w:r w:rsidRPr="0081375C">
        <w:rPr>
          <w:rFonts w:ascii="Arial" w:eastAsia="Arial" w:hAnsi="Arial" w:cs="Arial"/>
        </w:rPr>
        <w:t xml:space="preserve"> son el ICA y los </w:t>
      </w:r>
      <w:proofErr w:type="spellStart"/>
      <w:r w:rsidRPr="0081375C">
        <w:rPr>
          <w:rFonts w:ascii="Arial" w:eastAsia="Arial" w:hAnsi="Arial" w:cs="Arial"/>
        </w:rPr>
        <w:t>ICOs</w:t>
      </w:r>
      <w:proofErr w:type="spellEnd"/>
      <w:r w:rsidRPr="0081375C">
        <w:rPr>
          <w:rFonts w:ascii="Arial" w:eastAsia="Arial" w:hAnsi="Arial" w:cs="Arial"/>
        </w:rPr>
        <w:t xml:space="preserve"> de mineralización, materia orgánica, sólidos suspendidos y componente trófico (ICOMI, ICOMO, ICOSUS, ICOTRO).</w:t>
      </w:r>
    </w:p>
    <w:p w14:paraId="042F45FE" w14:textId="77777777" w:rsidR="004D081D" w:rsidRPr="0081375C" w:rsidRDefault="004D081D" w:rsidP="00E0155A">
      <w:pPr>
        <w:jc w:val="both"/>
      </w:pPr>
      <w:r w:rsidRPr="0081375C">
        <w:rPr>
          <w:rFonts w:ascii="Arial" w:eastAsia="Arial" w:hAnsi="Arial" w:cs="Arial"/>
        </w:rPr>
        <w:t xml:space="preserve"> </w:t>
      </w:r>
    </w:p>
    <w:p w14:paraId="249CC11F" w14:textId="77777777" w:rsidR="004D081D" w:rsidRPr="0081375C" w:rsidRDefault="004D081D" w:rsidP="00E0155A">
      <w:pPr>
        <w:jc w:val="both"/>
      </w:pPr>
      <w:r w:rsidRPr="0081375C">
        <w:rPr>
          <w:rFonts w:ascii="Arial" w:eastAsia="Arial" w:hAnsi="Arial" w:cs="Arial"/>
        </w:rPr>
        <w:t xml:space="preserve">La cuarta decisión es la contratación del laboratorio. Se selecciona un laboratorio acreditado por ONAC o IDEAM, se obtiene cotización y se formaliza el contrato. El contrato vigente es condición habilitante para la ingesta de campo; sin contrato activo, la campaña de muestreo queda bloqueada. El contrato debe especificar los tiempos </w:t>
      </w:r>
      <w:r w:rsidRPr="0081375C">
        <w:rPr>
          <w:rFonts w:ascii="Arial" w:eastAsia="Arial" w:hAnsi="Arial" w:cs="Arial"/>
        </w:rPr>
        <w:lastRenderedPageBreak/>
        <w:t>máximos entre toma y análisis para cada parámetro y los preservantes y condiciones de transporte requeridos por matriz.</w:t>
      </w:r>
    </w:p>
    <w:p w14:paraId="2CA97D4F" w14:textId="77777777" w:rsidR="004D081D" w:rsidRPr="0081375C" w:rsidRDefault="004D081D" w:rsidP="00E0155A">
      <w:pPr>
        <w:jc w:val="both"/>
      </w:pPr>
      <w:r w:rsidRPr="0081375C">
        <w:rPr>
          <w:rFonts w:ascii="Arial" w:eastAsia="Arial" w:hAnsi="Arial" w:cs="Arial"/>
        </w:rPr>
        <w:t xml:space="preserve"> </w:t>
      </w:r>
    </w:p>
    <w:p w14:paraId="7D38F844" w14:textId="77777777" w:rsidR="004D081D" w:rsidRPr="0081375C" w:rsidRDefault="004D081D" w:rsidP="00E0155A">
      <w:pPr>
        <w:jc w:val="both"/>
      </w:pPr>
      <w:r w:rsidRPr="0081375C">
        <w:rPr>
          <w:rFonts w:ascii="Arial" w:eastAsia="Arial" w:hAnsi="Arial" w:cs="Arial"/>
        </w:rPr>
        <w:t>La configuración consolidada especifica por microcuenca los puntos P y F con coordenadas, la clasificación de cada punto, los parámetros a analizar, los índices a calcular, las temporadas con meses tentativas y el indicador de ajuste por fenómeno climático, y el laboratorio contratado con número de acreditación. Esta configuración es heredada y no se modifica en la ejecución de las campañas; cualquier ajuste posterior requiere actualizar la configuración en esta actividad y, si implica nuevos parámetros, renegociar con el laboratorio.</w:t>
      </w:r>
    </w:p>
    <w:p w14:paraId="152A3AD6" w14:textId="77777777" w:rsidR="004D081D" w:rsidRPr="0081375C" w:rsidRDefault="004D081D" w:rsidP="729FED67">
      <w:pPr>
        <w:spacing w:line="23" w:lineRule="atLeast"/>
        <w:jc w:val="both"/>
        <w:rPr>
          <w:rFonts w:ascii="Arial" w:eastAsia="Arial" w:hAnsi="Arial" w:cs="Arial"/>
          <w:color w:val="000000" w:themeColor="text1"/>
        </w:rPr>
      </w:pPr>
    </w:p>
    <w:p w14:paraId="1993286D" w14:textId="6C9B0FA7" w:rsidR="005C4D42" w:rsidRPr="0081375C" w:rsidRDefault="005C4D42" w:rsidP="003F6B53">
      <w:pPr>
        <w:spacing w:line="23" w:lineRule="atLeast"/>
        <w:jc w:val="both"/>
        <w:rPr>
          <w:rFonts w:ascii="Arial" w:eastAsia="Arial" w:hAnsi="Arial" w:cs="Arial"/>
          <w:color w:val="000000" w:themeColor="text1"/>
        </w:rPr>
      </w:pPr>
    </w:p>
    <w:p w14:paraId="78036D14" w14:textId="35596B82" w:rsidR="00825D4D" w:rsidRPr="0081375C" w:rsidRDefault="3EA6C6BF" w:rsidP="729FED67">
      <w:pPr>
        <w:pStyle w:val="Ttulo5"/>
        <w:spacing w:before="0" w:after="0" w:line="23" w:lineRule="atLeast"/>
        <w:rPr>
          <w:rFonts w:eastAsia="Arial" w:cs="Arial"/>
          <w:color w:val="000000" w:themeColor="text1"/>
        </w:rPr>
      </w:pPr>
      <w:bookmarkStart w:id="128" w:name="_Toc233304215"/>
      <w:r w:rsidRPr="0081375C">
        <w:rPr>
          <w:rFonts w:eastAsia="Arial" w:cs="Arial"/>
          <w:color w:val="000000" w:themeColor="text1"/>
        </w:rPr>
        <w:t xml:space="preserve">3.3.4 </w:t>
      </w:r>
      <w:r w:rsidR="00806784" w:rsidRPr="0081375C">
        <w:rPr>
          <w:rFonts w:eastAsia="Arial" w:cs="Arial"/>
          <w:color w:val="000000" w:themeColor="text1"/>
        </w:rPr>
        <w:t xml:space="preserve">Efectividad </w:t>
      </w:r>
      <w:r w:rsidR="00FD1643" w:rsidRPr="0081375C">
        <w:rPr>
          <w:rFonts w:eastAsia="Arial" w:cs="Arial"/>
          <w:color w:val="000000" w:themeColor="text1"/>
        </w:rPr>
        <w:t>E</w:t>
      </w:r>
      <w:r w:rsidR="00806784" w:rsidRPr="0081375C">
        <w:rPr>
          <w:rFonts w:eastAsia="Arial" w:cs="Arial"/>
          <w:color w:val="000000" w:themeColor="text1"/>
        </w:rPr>
        <w:t>cológica</w:t>
      </w:r>
      <w:bookmarkEnd w:id="128"/>
    </w:p>
    <w:p w14:paraId="592D02FD" w14:textId="77777777" w:rsidR="005C4D42" w:rsidRPr="0081375C" w:rsidRDefault="005C4D42" w:rsidP="005C4D42">
      <w:pPr>
        <w:rPr>
          <w:rFonts w:ascii="Arial" w:hAnsi="Arial" w:cs="Arial"/>
        </w:rPr>
      </w:pPr>
    </w:p>
    <w:p w14:paraId="367C9120" w14:textId="77777777" w:rsidR="00825D4D" w:rsidRPr="0081375C" w:rsidRDefault="00806784" w:rsidP="003F6B53">
      <w:pPr>
        <w:spacing w:line="23" w:lineRule="atLeast"/>
        <w:jc w:val="both"/>
        <w:rPr>
          <w:rFonts w:ascii="Arial" w:eastAsia="Arial" w:hAnsi="Arial" w:cs="Arial"/>
          <w:color w:val="000000" w:themeColor="text1"/>
        </w:rPr>
      </w:pPr>
      <w:r w:rsidRPr="0081375C">
        <w:rPr>
          <w:rFonts w:ascii="Arial" w:eastAsia="Arial" w:hAnsi="Arial" w:cs="Arial"/>
          <w:color w:val="000000" w:themeColor="text1"/>
        </w:rPr>
        <w:t xml:space="preserve">Cuatro </w:t>
      </w:r>
      <w:proofErr w:type="spellStart"/>
      <w:r w:rsidRPr="0081375C">
        <w:rPr>
          <w:rFonts w:ascii="Arial" w:eastAsia="Arial" w:hAnsi="Arial" w:cs="Arial"/>
          <w:color w:val="000000" w:themeColor="text1"/>
        </w:rPr>
        <w:t>subpreguntas</w:t>
      </w:r>
      <w:proofErr w:type="spellEnd"/>
      <w:r w:rsidRPr="0081375C">
        <w:rPr>
          <w:rFonts w:ascii="Arial" w:eastAsia="Arial" w:hAnsi="Arial" w:cs="Arial"/>
          <w:color w:val="000000" w:themeColor="text1"/>
        </w:rPr>
        <w:t xml:space="preserve"> verifican el cambio en el estado de los ecosistemas:</w:t>
      </w:r>
    </w:p>
    <w:p w14:paraId="46A44627" w14:textId="77777777" w:rsidR="005C4D42" w:rsidRPr="0081375C" w:rsidRDefault="005C4D42" w:rsidP="003F6B53">
      <w:pPr>
        <w:spacing w:line="23" w:lineRule="atLeast"/>
        <w:jc w:val="both"/>
        <w:rPr>
          <w:rFonts w:ascii="Arial" w:eastAsia="Arial" w:hAnsi="Arial" w:cs="Arial"/>
          <w:color w:val="000000" w:themeColor="text1"/>
        </w:rPr>
      </w:pPr>
    </w:p>
    <w:p w14:paraId="63D85203" w14:textId="77777777" w:rsidR="00825D4D" w:rsidRPr="0081375C" w:rsidRDefault="00806784">
      <w:pPr>
        <w:pStyle w:val="Prrafodelista"/>
        <w:numPr>
          <w:ilvl w:val="0"/>
          <w:numId w:val="12"/>
        </w:numPr>
        <w:spacing w:line="23" w:lineRule="atLeast"/>
        <w:contextualSpacing w:val="0"/>
        <w:jc w:val="both"/>
        <w:rPr>
          <w:rFonts w:ascii="Arial" w:eastAsia="Arial" w:hAnsi="Arial" w:cs="Arial"/>
          <w:color w:val="000000" w:themeColor="text1"/>
        </w:rPr>
      </w:pPr>
      <w:r w:rsidRPr="0081375C">
        <w:rPr>
          <w:rFonts w:ascii="Arial" w:eastAsia="Arial" w:hAnsi="Arial" w:cs="Arial"/>
          <w:b/>
          <w:bCs/>
          <w:color w:val="000000" w:themeColor="text1"/>
        </w:rPr>
        <w:t>Presión sobre coberturas:</w:t>
      </w:r>
      <w:r w:rsidRPr="0081375C">
        <w:rPr>
          <w:rFonts w:ascii="Arial" w:eastAsia="Arial" w:hAnsi="Arial" w:cs="Arial"/>
          <w:color w:val="000000" w:themeColor="text1"/>
        </w:rPr>
        <w:t xml:space="preserve"> cambio en la extensión e intensidad de las actividades antrópicas que generan pérdida, degradación o fragmentación de la vegetación, incluyendo pastoreo, tala, quemas, áreas sin vegetación y transformación de coberturas naturales. Su evaluación se realizará mediante la comparación entre la línea base y los periodos de seguimiento, utilizando coberturas CLC, imágenes de mayor resolución, verificación en campo e implementación de buenas prácticas productivas.</w:t>
      </w:r>
    </w:p>
    <w:p w14:paraId="7CCF31AD" w14:textId="77777777" w:rsidR="00825D4D" w:rsidRPr="0081375C" w:rsidRDefault="00806784">
      <w:pPr>
        <w:pStyle w:val="Prrafodelista"/>
        <w:numPr>
          <w:ilvl w:val="0"/>
          <w:numId w:val="12"/>
        </w:numPr>
        <w:spacing w:line="23" w:lineRule="atLeast"/>
        <w:contextualSpacing w:val="0"/>
        <w:jc w:val="both"/>
        <w:rPr>
          <w:rFonts w:ascii="Arial" w:eastAsia="Arial" w:hAnsi="Arial" w:cs="Arial"/>
          <w:color w:val="000000" w:themeColor="text1"/>
        </w:rPr>
      </w:pPr>
      <w:r w:rsidRPr="0081375C">
        <w:rPr>
          <w:rFonts w:ascii="Arial" w:eastAsia="Arial" w:hAnsi="Arial" w:cs="Arial"/>
          <w:b/>
          <w:bCs/>
          <w:color w:val="000000" w:themeColor="text1"/>
        </w:rPr>
        <w:t>Pérdida evitada:</w:t>
      </w:r>
      <w:r w:rsidRPr="0081375C">
        <w:rPr>
          <w:rFonts w:ascii="Arial" w:eastAsia="Arial" w:hAnsi="Arial" w:cs="Arial"/>
          <w:color w:val="000000" w:themeColor="text1"/>
        </w:rPr>
        <w:t xml:space="preserve"> Este indicador se aplicará a las áreas vinculadas a la modalidad de conservación y se evaluará mediante el Índice de Vegetación de Diferencia Normalizada (NDVI). Su análisis permitirá identificar sectores en los que la cobertura vegetal se mantiene estable, sin evidencias de transformación, así como áreas que presentan cambios positivos asociados con la recuperación o mejora de la vegetación. Estos cambios se interpretan como un aumento en el vigor, la densidad o el desarrollo de la cobertura arbórea existente, lo cual puede reflejar procesos de recuperación de la biomasa aérea. </w:t>
      </w:r>
    </w:p>
    <w:p w14:paraId="33B1ABF7" w14:textId="77777777" w:rsidR="00825D4D" w:rsidRPr="0081375C" w:rsidRDefault="00806784">
      <w:pPr>
        <w:pStyle w:val="Prrafodelista"/>
        <w:numPr>
          <w:ilvl w:val="0"/>
          <w:numId w:val="12"/>
        </w:numPr>
        <w:spacing w:line="23" w:lineRule="atLeast"/>
        <w:contextualSpacing w:val="0"/>
        <w:jc w:val="both"/>
        <w:rPr>
          <w:rFonts w:ascii="Arial" w:eastAsia="Arial" w:hAnsi="Arial" w:cs="Arial"/>
          <w:color w:val="000000" w:themeColor="text1"/>
        </w:rPr>
      </w:pPr>
      <w:r w:rsidRPr="0081375C">
        <w:rPr>
          <w:rFonts w:ascii="Arial" w:eastAsia="Arial" w:hAnsi="Arial" w:cs="Arial"/>
          <w:b/>
          <w:bCs/>
          <w:color w:val="000000" w:themeColor="text1"/>
        </w:rPr>
        <w:t>Recuperación:</w:t>
      </w:r>
      <w:r w:rsidRPr="0081375C">
        <w:rPr>
          <w:rFonts w:ascii="Arial" w:eastAsia="Arial" w:hAnsi="Arial" w:cs="Arial"/>
          <w:color w:val="000000" w:themeColor="text1"/>
        </w:rPr>
        <w:t xml:space="preserve"> Este indicador se aplicará a las áreas vinculadas a la modalidad de restauración y se evaluará el desarrollo de las plántulas sembradas, supervivencia de los individuos establecidos, expresada en individuos por hectárea (</w:t>
      </w:r>
      <w:proofErr w:type="spellStart"/>
      <w:proofErr w:type="gramStart"/>
      <w:r w:rsidRPr="0081375C">
        <w:rPr>
          <w:rFonts w:ascii="Arial" w:eastAsia="Arial" w:hAnsi="Arial" w:cs="Arial"/>
          <w:color w:val="000000" w:themeColor="text1"/>
        </w:rPr>
        <w:t>ind</w:t>
      </w:r>
      <w:proofErr w:type="spellEnd"/>
      <w:r w:rsidRPr="0081375C">
        <w:rPr>
          <w:rFonts w:ascii="Arial" w:eastAsia="Arial" w:hAnsi="Arial" w:cs="Arial"/>
          <w:color w:val="000000" w:themeColor="text1"/>
        </w:rPr>
        <w:t>./</w:t>
      </w:r>
      <w:proofErr w:type="gramEnd"/>
      <w:r w:rsidRPr="0081375C">
        <w:rPr>
          <w:rFonts w:ascii="Arial" w:eastAsia="Arial" w:hAnsi="Arial" w:cs="Arial"/>
          <w:color w:val="000000" w:themeColor="text1"/>
        </w:rPr>
        <w:t xml:space="preserve">ha), e incremento del área basal como indicador del crecimiento de la vegetación. </w:t>
      </w:r>
    </w:p>
    <w:p w14:paraId="421EEEC8" w14:textId="77777777" w:rsidR="00825D4D" w:rsidRPr="0081375C" w:rsidRDefault="00806784">
      <w:pPr>
        <w:pStyle w:val="Prrafodelista"/>
        <w:numPr>
          <w:ilvl w:val="0"/>
          <w:numId w:val="12"/>
        </w:numPr>
        <w:spacing w:line="23" w:lineRule="atLeast"/>
        <w:contextualSpacing w:val="0"/>
        <w:jc w:val="both"/>
        <w:rPr>
          <w:rFonts w:ascii="Arial" w:eastAsia="Arial" w:hAnsi="Arial" w:cs="Arial"/>
          <w:color w:val="000000" w:themeColor="text1"/>
        </w:rPr>
      </w:pPr>
      <w:r w:rsidRPr="0081375C">
        <w:rPr>
          <w:rFonts w:ascii="Arial" w:eastAsia="Arial" w:hAnsi="Arial" w:cs="Arial"/>
          <w:b/>
          <w:bCs/>
          <w:color w:val="000000" w:themeColor="text1"/>
        </w:rPr>
        <w:t>Mantenimiento de coberturas boscosas</w:t>
      </w:r>
      <w:r w:rsidRPr="0081375C">
        <w:rPr>
          <w:rFonts w:ascii="Arial" w:eastAsia="Arial" w:hAnsi="Arial" w:cs="Arial"/>
          <w:color w:val="000000" w:themeColor="text1"/>
        </w:rPr>
        <w:t xml:space="preserve"> (solo en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+5): área boscosa frente a t</w:t>
      </w:r>
      <w:r w:rsidRPr="0081375C">
        <w:rPr>
          <w:rFonts w:ascii="Cambria Math" w:eastAsia="Arial" w:hAnsi="Cambria Math" w:cs="Cambria Math"/>
          <w:color w:val="000000" w:themeColor="text1"/>
        </w:rPr>
        <w:t>₀</w:t>
      </w:r>
      <w:r w:rsidRPr="0081375C">
        <w:rPr>
          <w:rFonts w:ascii="Arial" w:eastAsia="Arial" w:hAnsi="Arial" w:cs="Arial"/>
          <w:color w:val="000000" w:themeColor="text1"/>
        </w:rPr>
        <w:t>, predios que cumplen la meta y área basal total del esquema.</w:t>
      </w:r>
    </w:p>
    <w:p w14:paraId="2EEA0A0A" w14:textId="77777777" w:rsidR="005C4D42" w:rsidRPr="00C95135" w:rsidRDefault="005C4D42" w:rsidP="00E0155A">
      <w:pPr>
        <w:spacing w:line="23" w:lineRule="atLeast"/>
        <w:jc w:val="both"/>
        <w:rPr>
          <w:rFonts w:ascii="Arial" w:eastAsia="Arial" w:hAnsi="Arial" w:cs="Arial"/>
          <w:color w:val="000000" w:themeColor="text1"/>
        </w:rPr>
      </w:pPr>
    </w:p>
    <w:p w14:paraId="02333A75" w14:textId="77777777" w:rsidR="005C4D42" w:rsidRPr="00794E99" w:rsidRDefault="005C4D42" w:rsidP="003F6B53">
      <w:pPr>
        <w:spacing w:line="23" w:lineRule="atLeast"/>
        <w:jc w:val="both"/>
        <w:rPr>
          <w:rFonts w:ascii="Arial" w:eastAsia="Arial" w:hAnsi="Arial" w:cs="Arial"/>
          <w:color w:val="000000" w:themeColor="text1"/>
        </w:rPr>
      </w:pPr>
    </w:p>
    <w:p w14:paraId="3A485FDF" w14:textId="77777777" w:rsidR="008E2193" w:rsidRPr="00794E99" w:rsidRDefault="008E2193" w:rsidP="003F6B53">
      <w:pPr>
        <w:spacing w:line="23" w:lineRule="atLeast"/>
        <w:jc w:val="both"/>
        <w:rPr>
          <w:rFonts w:ascii="Arial" w:eastAsia="Arial" w:hAnsi="Arial" w:cs="Arial"/>
          <w:color w:val="000000" w:themeColor="text1"/>
        </w:rPr>
      </w:pPr>
    </w:p>
    <w:sectPr w:rsidR="008E2193" w:rsidRPr="00794E99">
      <w:headerReference w:type="even" r:id="rId23"/>
      <w:headerReference w:type="default" r:id="rId24"/>
      <w:footerReference w:type="default" r:id="rId25"/>
      <w:headerReference w:type="first" r:id="rId26"/>
      <w:footerReference w:type="first" r:id="rId27"/>
      <w:pgSz w:w="12240" w:h="15840"/>
      <w:pgMar w:top="3119" w:right="1797" w:bottom="805" w:left="1797" w:header="425" w:footer="22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4C192" w14:textId="77777777" w:rsidR="00A75462" w:rsidRDefault="00A75462">
      <w:r>
        <w:separator/>
      </w:r>
    </w:p>
  </w:endnote>
  <w:endnote w:type="continuationSeparator" w:id="0">
    <w:p w14:paraId="4730B310" w14:textId="77777777" w:rsidR="00A75462" w:rsidRDefault="00A7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default"/>
    <w:sig w:usb0="00000000" w:usb1="00000000" w:usb2="00000000" w:usb3="00000000" w:csb0="000001BF" w:csb1="00000000"/>
  </w:font>
  <w:font w:name="Liberation Sans">
    <w:altName w:val="Arial"/>
    <w:charset w:val="01"/>
    <w:family w:val="swiss"/>
    <w:pitch w:val="variable"/>
  </w:font>
  <w:font w:name="Noto Sans CJK SC">
    <w:altName w:val="Segoe Print"/>
    <w:panose1 w:val="00000000000000000000"/>
    <w:charset w:val="00"/>
    <w:family w:val="roman"/>
    <w:notTrueType/>
    <w:pitch w:val="default"/>
  </w:font>
  <w:font w:name="DejaVu Sans">
    <w:panose1 w:val="020B0603030804020204"/>
    <w:charset w:val="00"/>
    <w:family w:val="swiss"/>
    <w:pitch w:val="variable"/>
    <w:sig w:usb0="E7002EFF" w:usb1="D200FDFF" w:usb2="0A24602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8E2C" w14:textId="77777777" w:rsidR="00825D4D" w:rsidRDefault="00806784">
    <w:pPr>
      <w:pStyle w:val="Piedepgina"/>
      <w:ind w:hanging="1350"/>
    </w:pPr>
    <w:r>
      <w:rPr>
        <w:noProof/>
      </w:rPr>
      <w:drawing>
        <wp:inline distT="0" distB="0" distL="0" distR="0" wp14:anchorId="315ACFC9" wp14:editId="03E220C6">
          <wp:extent cx="45720" cy="914400"/>
          <wp:effectExtent l="0" t="0" r="0" b="0"/>
          <wp:docPr id="7"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Macintosh HD:Users:davidsalazar:Desktop:PAPELERIA ALCALDIA:ARTE HOJA CARTA_Folder:Links:pata HOJA CARTA.jpg"/>
                  <pic:cNvPicPr>
                    <a:picLocks noChangeAspect="1" noChangeArrowheads="1"/>
                  </pic:cNvPicPr>
                </pic:nvPicPr>
                <pic:blipFill>
                  <a:blip r:embed="rId1"/>
                  <a:srcRect l="99968" r="-619"/>
                  <a:stretch>
                    <a:fillRect/>
                  </a:stretch>
                </pic:blipFill>
                <pic:spPr bwMode="auto">
                  <a:xfrm>
                    <a:off x="0" y="0"/>
                    <a:ext cx="45720" cy="91440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10FE" w14:textId="77777777" w:rsidR="00825D4D" w:rsidRDefault="00806784">
    <w:pPr>
      <w:pStyle w:val="Piedepgina"/>
      <w:ind w:hanging="1350"/>
    </w:pPr>
    <w:r>
      <w:rPr>
        <w:noProof/>
      </w:rPr>
      <w:drawing>
        <wp:inline distT="0" distB="0" distL="0" distR="0" wp14:anchorId="2A1198E4" wp14:editId="00231EB3">
          <wp:extent cx="45720" cy="914400"/>
          <wp:effectExtent l="0" t="0" r="0" b="0"/>
          <wp:docPr id="8"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Macintosh HD:Users:davidsalazar:Desktop:PAPELERIA ALCALDIA:ARTE HOJA CARTA_Folder:Links:pata HOJA CARTA.jpg"/>
                  <pic:cNvPicPr>
                    <a:picLocks noChangeAspect="1" noChangeArrowheads="1"/>
                  </pic:cNvPicPr>
                </pic:nvPicPr>
                <pic:blipFill>
                  <a:blip r:embed="rId1"/>
                  <a:srcRect l="99968" r="-619"/>
                  <a:stretch>
                    <a:fillRect/>
                  </a:stretch>
                </pic:blipFill>
                <pic:spPr bwMode="auto">
                  <a:xfrm>
                    <a:off x="0" y="0"/>
                    <a:ext cx="45720" cy="9144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D1C3" w14:textId="77777777" w:rsidR="00A75462" w:rsidRDefault="00A75462">
      <w:r>
        <w:separator/>
      </w:r>
    </w:p>
  </w:footnote>
  <w:footnote w:type="continuationSeparator" w:id="0">
    <w:p w14:paraId="3ED23A3B" w14:textId="77777777" w:rsidR="00A75462" w:rsidRDefault="00A75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8906" w14:textId="77777777" w:rsidR="00825D4D" w:rsidRDefault="00806784">
    <w:pPr>
      <w:pStyle w:val="Encabezado"/>
    </w:pPr>
    <w:r>
      <w:rPr>
        <w:noProof/>
      </w:rPr>
      <w:drawing>
        <wp:anchor distT="0" distB="0" distL="0" distR="0" simplePos="0" relativeHeight="251658242" behindDoc="1" locked="0" layoutInCell="1" allowOverlap="1" wp14:anchorId="18EB6895" wp14:editId="1A17C903">
          <wp:simplePos x="0" y="0"/>
          <wp:positionH relativeFrom="margin">
            <wp:align>center</wp:align>
          </wp:positionH>
          <wp:positionV relativeFrom="margin">
            <wp:align>center</wp:align>
          </wp:positionV>
          <wp:extent cx="7784465" cy="10076815"/>
          <wp:effectExtent l="0" t="0" r="0" b="0"/>
          <wp:wrapNone/>
          <wp:docPr id="4" name="WordPictureWatermark10896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108965420"/>
                  <pic:cNvPicPr>
                    <a:picLocks noChangeAspect="1" noChangeArrowheads="1"/>
                  </pic:cNvPicPr>
                </pic:nvPicPr>
                <pic:blipFill>
                  <a:blip r:embed="rId1"/>
                  <a:stretch>
                    <a:fillRect/>
                  </a:stretch>
                </pic:blipFill>
                <pic:spPr bwMode="auto">
                  <a:xfrm>
                    <a:off x="0" y="0"/>
                    <a:ext cx="7784465" cy="100768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924"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11"/>
      <w:gridCol w:w="5386"/>
      <w:gridCol w:w="2127"/>
    </w:tblGrid>
    <w:tr w:rsidR="007B0D6D" w14:paraId="02E94E4D" w14:textId="77777777" w:rsidTr="00F96B8B">
      <w:trPr>
        <w:trHeight w:val="835"/>
      </w:trPr>
      <w:tc>
        <w:tcPr>
          <w:tcW w:w="2411" w:type="dxa"/>
          <w:vAlign w:val="center"/>
        </w:tcPr>
        <w:p w14:paraId="319C56F5" w14:textId="77777777" w:rsidR="007B0D6D" w:rsidRDefault="007B0D6D" w:rsidP="007B0D6D">
          <w:pPr>
            <w:pStyle w:val="Encabezado"/>
            <w:jc w:val="center"/>
          </w:pPr>
          <w:r>
            <w:t>Cód. DE-GEAM 077</w:t>
          </w:r>
        </w:p>
      </w:tc>
      <w:tc>
        <w:tcPr>
          <w:tcW w:w="5386" w:type="dxa"/>
          <w:vMerge w:val="restart"/>
          <w:vAlign w:val="center"/>
        </w:tcPr>
        <w:p w14:paraId="55C0B4EB" w14:textId="6DD90083" w:rsidR="007B0D6D" w:rsidRPr="00313745" w:rsidRDefault="007B0D6D" w:rsidP="007B0D6D">
          <w:pPr>
            <w:pStyle w:val="Encabezado"/>
            <w:jc w:val="center"/>
            <w:rPr>
              <w:sz w:val="20"/>
              <w:szCs w:val="20"/>
            </w:rPr>
          </w:pPr>
          <w:r w:rsidRPr="00313745">
            <w:rPr>
              <w:rFonts w:ascii="Arial" w:hAnsi="Arial" w:cs="Arial"/>
              <w:bCs/>
              <w:color w:val="000000"/>
              <w:sz w:val="20"/>
              <w:szCs w:val="20"/>
            </w:rPr>
            <w:t>Documento específico</w:t>
          </w:r>
          <w:r w:rsidRPr="00313745">
            <w:rPr>
              <w:rFonts w:ascii="Arial" w:hAnsi="Arial" w:cs="Arial"/>
              <w:bCs/>
              <w:color w:val="000000"/>
              <w:sz w:val="20"/>
              <w:szCs w:val="20"/>
            </w:rPr>
            <w:br/>
          </w:r>
          <w:r w:rsidRPr="00313745">
            <w:rPr>
              <w:rFonts w:ascii="Arial" w:hAnsi="Arial" w:cs="Arial"/>
              <w:b/>
              <w:bCs/>
              <w:color w:val="000000"/>
              <w:sz w:val="20"/>
              <w:szCs w:val="20"/>
            </w:rPr>
            <w:t xml:space="preserve">DE-GEAM Guía Metodológica </w:t>
          </w:r>
          <w:r w:rsidR="00572849">
            <w:rPr>
              <w:rFonts w:ascii="Arial" w:hAnsi="Arial" w:cs="Arial"/>
              <w:b/>
              <w:bCs/>
              <w:color w:val="000000"/>
              <w:sz w:val="20"/>
              <w:szCs w:val="20"/>
            </w:rPr>
            <w:t>de</w:t>
          </w:r>
          <w:r w:rsidRPr="00313745">
            <w:rPr>
              <w:rFonts w:ascii="Arial" w:hAnsi="Arial" w:cs="Arial"/>
              <w:b/>
              <w:bCs/>
              <w:color w:val="000000"/>
              <w:sz w:val="20"/>
              <w:szCs w:val="20"/>
            </w:rPr>
            <w:t xml:space="preserve"> P</w:t>
          </w:r>
          <w:r w:rsidR="00013CC2">
            <w:rPr>
              <w:rFonts w:ascii="Arial" w:hAnsi="Arial" w:cs="Arial"/>
              <w:b/>
              <w:bCs/>
              <w:color w:val="000000"/>
              <w:sz w:val="20"/>
              <w:szCs w:val="20"/>
            </w:rPr>
            <w:t xml:space="preserve">ago por </w:t>
          </w:r>
          <w:r w:rsidRPr="00313745">
            <w:rPr>
              <w:rFonts w:ascii="Arial" w:hAnsi="Arial" w:cs="Arial"/>
              <w:b/>
              <w:bCs/>
              <w:color w:val="000000"/>
              <w:sz w:val="20"/>
              <w:szCs w:val="20"/>
            </w:rPr>
            <w:t>S</w:t>
          </w:r>
          <w:r w:rsidR="00013CC2">
            <w:rPr>
              <w:rFonts w:ascii="Arial" w:hAnsi="Arial" w:cs="Arial"/>
              <w:b/>
              <w:bCs/>
              <w:color w:val="000000"/>
              <w:sz w:val="20"/>
              <w:szCs w:val="20"/>
            </w:rPr>
            <w:t xml:space="preserve">ervicios </w:t>
          </w:r>
          <w:r w:rsidRPr="00313745">
            <w:rPr>
              <w:rFonts w:ascii="Arial" w:hAnsi="Arial" w:cs="Arial"/>
              <w:b/>
              <w:bCs/>
              <w:color w:val="000000"/>
              <w:sz w:val="20"/>
              <w:szCs w:val="20"/>
            </w:rPr>
            <w:t>A</w:t>
          </w:r>
          <w:r w:rsidR="00013CC2">
            <w:rPr>
              <w:rFonts w:ascii="Arial" w:hAnsi="Arial" w:cs="Arial"/>
              <w:b/>
              <w:bCs/>
              <w:color w:val="000000"/>
              <w:sz w:val="20"/>
              <w:szCs w:val="20"/>
            </w:rPr>
            <w:t>mbientales (PSA)</w:t>
          </w:r>
          <w:r w:rsidRPr="00313745">
            <w:rPr>
              <w:rFonts w:ascii="Arial" w:hAnsi="Arial" w:cs="Arial"/>
              <w:b/>
              <w:bCs/>
              <w:color w:val="000000"/>
              <w:sz w:val="20"/>
              <w:szCs w:val="20"/>
            </w:rPr>
            <w:t xml:space="preserve"> </w:t>
          </w:r>
        </w:p>
      </w:tc>
      <w:tc>
        <w:tcPr>
          <w:tcW w:w="2127" w:type="dxa"/>
          <w:vMerge w:val="restart"/>
          <w:vAlign w:val="center"/>
        </w:tcPr>
        <w:p w14:paraId="5CE972E3" w14:textId="77777777" w:rsidR="007B0D6D" w:rsidRDefault="007B0D6D" w:rsidP="007B0D6D">
          <w:pPr>
            <w:pStyle w:val="Encabezado"/>
            <w:jc w:val="center"/>
          </w:pPr>
          <w:r>
            <w:rPr>
              <w:noProof/>
              <w:lang w:eastAsia="es-CO"/>
            </w:rPr>
            <w:drawing>
              <wp:anchor distT="0" distB="0" distL="114300" distR="114300" simplePos="0" relativeHeight="251660290" behindDoc="0" locked="0" layoutInCell="1" allowOverlap="1" wp14:anchorId="31D71251" wp14:editId="22E67249">
                <wp:simplePos x="0" y="0"/>
                <wp:positionH relativeFrom="column">
                  <wp:posOffset>-27305</wp:posOffset>
                </wp:positionH>
                <wp:positionV relativeFrom="paragraph">
                  <wp:posOffset>-28575</wp:posOffset>
                </wp:positionV>
                <wp:extent cx="1247775" cy="847725"/>
                <wp:effectExtent l="0" t="0" r="9525" b="9525"/>
                <wp:wrapNone/>
                <wp:docPr id="1391120219" name="Imagen 139112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47775" cy="847725"/>
                        </a:xfrm>
                        <a:prstGeom prst="rect">
                          <a:avLst/>
                        </a:prstGeom>
                      </pic:spPr>
                    </pic:pic>
                  </a:graphicData>
                </a:graphic>
                <wp14:sizeRelH relativeFrom="margin">
                  <wp14:pctWidth>0</wp14:pctWidth>
                </wp14:sizeRelH>
                <wp14:sizeRelV relativeFrom="margin">
                  <wp14:pctHeight>0</wp14:pctHeight>
                </wp14:sizeRelV>
              </wp:anchor>
            </w:drawing>
          </w:r>
        </w:p>
      </w:tc>
    </w:tr>
    <w:tr w:rsidR="007B0D6D" w14:paraId="73557E31" w14:textId="77777777" w:rsidTr="00F96B8B">
      <w:trPr>
        <w:trHeight w:val="698"/>
      </w:trPr>
      <w:tc>
        <w:tcPr>
          <w:tcW w:w="2411" w:type="dxa"/>
          <w:vAlign w:val="center"/>
        </w:tcPr>
        <w:p w14:paraId="4B6D9FA9" w14:textId="3EDB0B71" w:rsidR="007B0D6D" w:rsidRDefault="007B0D6D" w:rsidP="007B0D6D">
          <w:pPr>
            <w:pStyle w:val="Encabezado"/>
            <w:jc w:val="center"/>
          </w:pPr>
          <w:r>
            <w:t xml:space="preserve">Versión </w:t>
          </w:r>
          <w:r w:rsidR="005C3EEA">
            <w:t>2</w:t>
          </w:r>
        </w:p>
      </w:tc>
      <w:tc>
        <w:tcPr>
          <w:tcW w:w="5386" w:type="dxa"/>
          <w:vMerge/>
          <w:vAlign w:val="center"/>
        </w:tcPr>
        <w:p w14:paraId="4792FF5F" w14:textId="77777777" w:rsidR="007B0D6D" w:rsidRDefault="007B0D6D" w:rsidP="007B0D6D">
          <w:pPr>
            <w:pStyle w:val="Encabezado"/>
            <w:jc w:val="center"/>
          </w:pPr>
        </w:p>
      </w:tc>
      <w:tc>
        <w:tcPr>
          <w:tcW w:w="2127" w:type="dxa"/>
          <w:vMerge/>
          <w:vAlign w:val="center"/>
        </w:tcPr>
        <w:p w14:paraId="6D5BBC58" w14:textId="77777777" w:rsidR="007B0D6D" w:rsidRDefault="007B0D6D" w:rsidP="007B0D6D">
          <w:pPr>
            <w:pStyle w:val="Encabezado"/>
            <w:jc w:val="center"/>
          </w:pPr>
        </w:p>
      </w:tc>
    </w:tr>
  </w:tbl>
  <w:p w14:paraId="12415FE8" w14:textId="5358C505" w:rsidR="00825D4D" w:rsidRDefault="00825D4D">
    <w:pPr>
      <w:pStyle w:val="Encabezado"/>
      <w:tabs>
        <w:tab w:val="clear" w:pos="4320"/>
      </w:tabs>
      <w:ind w:firstLine="142"/>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00C0" w14:textId="77777777" w:rsidR="00825D4D" w:rsidRDefault="00806784">
    <w:pPr>
      <w:pStyle w:val="Encabezado"/>
      <w:tabs>
        <w:tab w:val="clear" w:pos="4320"/>
      </w:tabs>
      <w:ind w:firstLine="142"/>
      <w:jc w:val="center"/>
    </w:pPr>
    <w:r>
      <w:rPr>
        <w:noProof/>
      </w:rPr>
      <w:drawing>
        <wp:anchor distT="0" distB="0" distL="0" distR="0" simplePos="0" relativeHeight="251658241" behindDoc="1" locked="0" layoutInCell="0" allowOverlap="1" wp14:anchorId="150FFBBD" wp14:editId="213930CB">
          <wp:simplePos x="0" y="0"/>
          <wp:positionH relativeFrom="margin">
            <wp:align>center</wp:align>
          </wp:positionH>
          <wp:positionV relativeFrom="paragraph">
            <wp:posOffset>-269875</wp:posOffset>
          </wp:positionV>
          <wp:extent cx="7769225" cy="10054590"/>
          <wp:effectExtent l="0" t="0" r="0" b="0"/>
          <wp:wrapNone/>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pic:cNvPicPr>
                    <a:picLocks noChangeAspect="1" noChangeArrowheads="1"/>
                  </pic:cNvPicPr>
                </pic:nvPicPr>
                <pic:blipFill>
                  <a:blip r:embed="rId1"/>
                  <a:stretch>
                    <a:fillRect/>
                  </a:stretch>
                </pic:blipFill>
                <pic:spPr bwMode="auto">
                  <a:xfrm>
                    <a:off x="0" y="0"/>
                    <a:ext cx="7769225" cy="10054590"/>
                  </a:xfrm>
                  <a:prstGeom prst="rect">
                    <a:avLst/>
                  </a:prstGeom>
                  <a:noFill/>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7Zy7eQYz" int2:invalidationBookmarkName="" int2:hashCode="8+enwDQ26sqwUc" int2:id="9f1pwbpf">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29AF"/>
    <w:multiLevelType w:val="multilevel"/>
    <w:tmpl w:val="B6BA8BD6"/>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F0748F"/>
    <w:multiLevelType w:val="multilevel"/>
    <w:tmpl w:val="D77ADAC6"/>
    <w:lvl w:ilvl="0">
      <w:start w:val="1"/>
      <w:numFmt w:val="bullet"/>
      <w:lvlText w:val="·"/>
      <w:lvlJc w:val="left"/>
      <w:pPr>
        <w:tabs>
          <w:tab w:val="num" w:pos="720"/>
        </w:tabs>
        <w:ind w:left="1440" w:hanging="360"/>
      </w:pPr>
      <w:rPr>
        <w:rFonts w:ascii="Symbol" w:hAnsi="Symbol" w:cs="Symbol" w:hint="default"/>
      </w:rPr>
    </w:lvl>
    <w:lvl w:ilvl="1">
      <w:start w:val="1"/>
      <w:numFmt w:val="bullet"/>
      <w:lvlText w:val="o"/>
      <w:lvlJc w:val="left"/>
      <w:pPr>
        <w:tabs>
          <w:tab w:val="num" w:pos="720"/>
        </w:tabs>
        <w:ind w:left="2160" w:hanging="360"/>
      </w:pPr>
      <w:rPr>
        <w:rFonts w:ascii="Courier New" w:hAnsi="Courier New" w:cs="Courier New" w:hint="default"/>
      </w:rPr>
    </w:lvl>
    <w:lvl w:ilvl="2">
      <w:start w:val="1"/>
      <w:numFmt w:val="bullet"/>
      <w:lvlText w:val=""/>
      <w:lvlJc w:val="left"/>
      <w:pPr>
        <w:tabs>
          <w:tab w:val="num" w:pos="720"/>
        </w:tabs>
        <w:ind w:left="2880" w:hanging="360"/>
      </w:pPr>
      <w:rPr>
        <w:rFonts w:ascii="Wingdings" w:hAnsi="Wingdings" w:cs="Wingdings" w:hint="default"/>
      </w:rPr>
    </w:lvl>
    <w:lvl w:ilvl="3">
      <w:start w:val="1"/>
      <w:numFmt w:val="bullet"/>
      <w:lvlText w:val=""/>
      <w:lvlJc w:val="left"/>
      <w:pPr>
        <w:tabs>
          <w:tab w:val="num" w:pos="720"/>
        </w:tabs>
        <w:ind w:left="3600" w:hanging="360"/>
      </w:pPr>
      <w:rPr>
        <w:rFonts w:ascii="Symbol" w:hAnsi="Symbol" w:cs="Symbol" w:hint="default"/>
      </w:rPr>
    </w:lvl>
    <w:lvl w:ilvl="4">
      <w:start w:val="1"/>
      <w:numFmt w:val="bullet"/>
      <w:lvlText w:val="o"/>
      <w:lvlJc w:val="left"/>
      <w:pPr>
        <w:tabs>
          <w:tab w:val="num" w:pos="720"/>
        </w:tabs>
        <w:ind w:left="4320" w:hanging="360"/>
      </w:pPr>
      <w:rPr>
        <w:rFonts w:ascii="Courier New" w:hAnsi="Courier New" w:cs="Courier New" w:hint="default"/>
      </w:rPr>
    </w:lvl>
    <w:lvl w:ilvl="5">
      <w:start w:val="1"/>
      <w:numFmt w:val="bullet"/>
      <w:lvlText w:val=""/>
      <w:lvlJc w:val="left"/>
      <w:pPr>
        <w:tabs>
          <w:tab w:val="num" w:pos="720"/>
        </w:tabs>
        <w:ind w:left="5040" w:hanging="360"/>
      </w:pPr>
      <w:rPr>
        <w:rFonts w:ascii="Wingdings" w:hAnsi="Wingdings" w:cs="Wingdings" w:hint="default"/>
      </w:rPr>
    </w:lvl>
    <w:lvl w:ilvl="6">
      <w:start w:val="1"/>
      <w:numFmt w:val="bullet"/>
      <w:lvlText w:val=""/>
      <w:lvlJc w:val="left"/>
      <w:pPr>
        <w:tabs>
          <w:tab w:val="num" w:pos="720"/>
        </w:tabs>
        <w:ind w:left="5760" w:hanging="360"/>
      </w:pPr>
      <w:rPr>
        <w:rFonts w:ascii="Symbol" w:hAnsi="Symbol" w:cs="Symbol" w:hint="default"/>
      </w:rPr>
    </w:lvl>
    <w:lvl w:ilvl="7">
      <w:start w:val="1"/>
      <w:numFmt w:val="bullet"/>
      <w:lvlText w:val="o"/>
      <w:lvlJc w:val="left"/>
      <w:pPr>
        <w:tabs>
          <w:tab w:val="num" w:pos="720"/>
        </w:tabs>
        <w:ind w:left="6480" w:hanging="360"/>
      </w:pPr>
      <w:rPr>
        <w:rFonts w:ascii="Courier New" w:hAnsi="Courier New" w:cs="Courier New" w:hint="default"/>
      </w:rPr>
    </w:lvl>
    <w:lvl w:ilvl="8">
      <w:start w:val="1"/>
      <w:numFmt w:val="bullet"/>
      <w:lvlText w:val=""/>
      <w:lvlJc w:val="left"/>
      <w:pPr>
        <w:tabs>
          <w:tab w:val="num" w:pos="720"/>
        </w:tabs>
        <w:ind w:left="7200" w:hanging="360"/>
      </w:pPr>
      <w:rPr>
        <w:rFonts w:ascii="Wingdings" w:hAnsi="Wingdings" w:cs="Wingdings" w:hint="default"/>
      </w:rPr>
    </w:lvl>
  </w:abstractNum>
  <w:abstractNum w:abstractNumId="2" w15:restartNumberingAfterBreak="0">
    <w:nsid w:val="079C0FC9"/>
    <w:multiLevelType w:val="multilevel"/>
    <w:tmpl w:val="788AAB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E14484A"/>
    <w:multiLevelType w:val="multilevel"/>
    <w:tmpl w:val="2BCA52A0"/>
    <w:lvl w:ilvl="0">
      <w:start w:val="1"/>
      <w:numFmt w:val="decimal"/>
      <w:suff w:val="space"/>
      <w:lvlText w:val="%1."/>
      <w:lvlJc w:val="left"/>
      <w:pPr>
        <w:tabs>
          <w:tab w:val="num" w:pos="0"/>
        </w:tabs>
        <w:ind w:left="0" w:firstLine="0"/>
      </w:pPr>
      <w:rPr>
        <w:rFonts w:ascii="Arial" w:hAnsi="Arial" w:cs="Arial"/>
        <w:b/>
        <w:sz w:val="22"/>
      </w:rPr>
    </w:lvl>
    <w:lvl w:ilvl="1">
      <w:start w:val="1"/>
      <w:numFmt w:val="decimal"/>
      <w:suff w:val="space"/>
      <w:lvlText w:val="%1.%2."/>
      <w:lvlJc w:val="left"/>
      <w:pPr>
        <w:tabs>
          <w:tab w:val="num" w:pos="0"/>
        </w:tabs>
        <w:ind w:left="0" w:firstLine="0"/>
      </w:pPr>
      <w:rPr>
        <w:rFonts w:ascii="Arial" w:hAnsi="Arial" w:cs="Arial"/>
        <w:b/>
        <w:sz w:val="22"/>
      </w:rPr>
    </w:lvl>
    <w:lvl w:ilvl="2">
      <w:start w:val="1"/>
      <w:numFmt w:val="decimal"/>
      <w:suff w:val="space"/>
      <w:lvlText w:val="%1.%2.%3."/>
      <w:lvlJc w:val="left"/>
      <w:pPr>
        <w:tabs>
          <w:tab w:val="num" w:pos="0"/>
        </w:tabs>
        <w:ind w:left="0" w:firstLine="0"/>
      </w:pPr>
      <w:rPr>
        <w:rFonts w:ascii="Arial" w:hAnsi="Arial" w:cs="Arial"/>
        <w:b/>
        <w:sz w:val="22"/>
      </w:rPr>
    </w:lvl>
    <w:lvl w:ilvl="3">
      <w:start w:val="1"/>
      <w:numFmt w:val="decimal"/>
      <w:suff w:val="space"/>
      <w:lvlText w:val="%1.%2.%3.%4."/>
      <w:lvlJc w:val="left"/>
      <w:pPr>
        <w:tabs>
          <w:tab w:val="num" w:pos="0"/>
        </w:tabs>
        <w:ind w:left="0" w:firstLine="0"/>
      </w:pPr>
      <w:rPr>
        <w:rFonts w:ascii="Arial" w:hAnsi="Arial" w:cs="Arial"/>
        <w:b/>
        <w:bCs w:val="0"/>
        <w:sz w:val="22"/>
      </w:rPr>
    </w:lvl>
    <w:lvl w:ilvl="4">
      <w:start w:val="1"/>
      <w:numFmt w:val="decimal"/>
      <w:suff w:val="space"/>
      <w:lvlText w:val="%1.%2.%3.%4.%5."/>
      <w:lvlJc w:val="left"/>
      <w:pPr>
        <w:tabs>
          <w:tab w:val="num" w:pos="0"/>
        </w:tabs>
        <w:ind w:left="0" w:firstLine="0"/>
      </w:pPr>
      <w:rPr>
        <w:rFonts w:ascii="Arial" w:hAnsi="Arial" w:cs="Arial"/>
        <w:b/>
        <w:bCs w:val="0"/>
        <w:sz w:val="22"/>
      </w:rPr>
    </w:lvl>
    <w:lvl w:ilvl="5">
      <w:start w:val="1"/>
      <w:numFmt w:val="decimal"/>
      <w:suff w:val="space"/>
      <w:lvlText w:val="%1.%2.%3.%4.%5.%6."/>
      <w:lvlJc w:val="left"/>
      <w:pPr>
        <w:tabs>
          <w:tab w:val="num" w:pos="0"/>
        </w:tabs>
        <w:ind w:left="0" w:firstLine="0"/>
      </w:pPr>
      <w:rPr>
        <w:rFonts w:ascii="Arial" w:hAnsi="Arial" w:cs="Arial"/>
        <w:b/>
        <w:sz w:val="22"/>
      </w:rPr>
    </w:lvl>
    <w:lvl w:ilvl="6">
      <w:start w:val="1"/>
      <w:numFmt w:val="decimal"/>
      <w:suff w:val="space"/>
      <w:lvlText w:val="%1.%2.%3.%4.%5.%6.%7."/>
      <w:lvlJc w:val="left"/>
      <w:pPr>
        <w:tabs>
          <w:tab w:val="num" w:pos="0"/>
        </w:tabs>
        <w:ind w:left="0" w:firstLine="0"/>
      </w:pPr>
      <w:rPr>
        <w:rFonts w:ascii="Arial" w:hAnsi="Arial" w:cs="Arial"/>
        <w:b/>
        <w:sz w:val="22"/>
      </w:rPr>
    </w:lvl>
    <w:lvl w:ilvl="7">
      <w:start w:val="1"/>
      <w:numFmt w:val="decimal"/>
      <w:suff w:val="space"/>
      <w:lvlText w:val="%1.%2.%3.%4.%5.%6.%7.%8."/>
      <w:lvlJc w:val="left"/>
      <w:pPr>
        <w:tabs>
          <w:tab w:val="num" w:pos="0"/>
        </w:tabs>
        <w:ind w:left="0" w:firstLine="0"/>
      </w:pPr>
      <w:rPr>
        <w:rFonts w:ascii="Arial" w:hAnsi="Arial" w:cs="Arial"/>
        <w:b/>
        <w:sz w:val="22"/>
      </w:rPr>
    </w:lvl>
    <w:lvl w:ilvl="8">
      <w:start w:val="1"/>
      <w:numFmt w:val="decimal"/>
      <w:suff w:val="space"/>
      <w:lvlText w:val="%1.%2.%3.%4.%5.%6.%7.%8.%9."/>
      <w:lvlJc w:val="left"/>
      <w:pPr>
        <w:tabs>
          <w:tab w:val="num" w:pos="0"/>
        </w:tabs>
        <w:ind w:left="0" w:firstLine="0"/>
      </w:pPr>
      <w:rPr>
        <w:rFonts w:ascii="Arial" w:hAnsi="Arial" w:cs="Arial"/>
        <w:b/>
        <w:sz w:val="22"/>
      </w:rPr>
    </w:lvl>
  </w:abstractNum>
  <w:abstractNum w:abstractNumId="4" w15:restartNumberingAfterBreak="0">
    <w:nsid w:val="11B57C39"/>
    <w:multiLevelType w:val="multilevel"/>
    <w:tmpl w:val="29C0F0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2B13B70"/>
    <w:multiLevelType w:val="hybridMultilevel"/>
    <w:tmpl w:val="E508E95C"/>
    <w:lvl w:ilvl="0" w:tplc="69D8EC82">
      <w:numFmt w:val="none"/>
      <w:pStyle w:val="Ttulo4"/>
      <w:lvlText w:val=""/>
      <w:lvlJc w:val="left"/>
      <w:pPr>
        <w:tabs>
          <w:tab w:val="num" w:pos="360"/>
        </w:tabs>
      </w:pPr>
    </w:lvl>
    <w:lvl w:ilvl="1" w:tplc="C3F2A18E">
      <w:start w:val="1"/>
      <w:numFmt w:val="lowerLetter"/>
      <w:lvlText w:val="%2."/>
      <w:lvlJc w:val="left"/>
      <w:pPr>
        <w:tabs>
          <w:tab w:val="num" w:pos="0"/>
        </w:tabs>
        <w:ind w:left="1440" w:hanging="360"/>
      </w:pPr>
    </w:lvl>
    <w:lvl w:ilvl="2" w:tplc="2FB80C98">
      <w:start w:val="1"/>
      <w:numFmt w:val="lowerRoman"/>
      <w:lvlText w:val="%3."/>
      <w:lvlJc w:val="right"/>
      <w:pPr>
        <w:tabs>
          <w:tab w:val="num" w:pos="0"/>
        </w:tabs>
        <w:ind w:left="2160" w:hanging="180"/>
      </w:pPr>
    </w:lvl>
    <w:lvl w:ilvl="3" w:tplc="865E4CD8">
      <w:start w:val="1"/>
      <w:numFmt w:val="decimal"/>
      <w:lvlText w:val="%4."/>
      <w:lvlJc w:val="left"/>
      <w:pPr>
        <w:tabs>
          <w:tab w:val="num" w:pos="0"/>
        </w:tabs>
        <w:ind w:left="2880" w:hanging="360"/>
      </w:pPr>
    </w:lvl>
    <w:lvl w:ilvl="4" w:tplc="5A1070F8">
      <w:start w:val="1"/>
      <w:numFmt w:val="lowerLetter"/>
      <w:lvlText w:val="%5."/>
      <w:lvlJc w:val="left"/>
      <w:pPr>
        <w:tabs>
          <w:tab w:val="num" w:pos="0"/>
        </w:tabs>
        <w:ind w:left="3600" w:hanging="360"/>
      </w:pPr>
    </w:lvl>
    <w:lvl w:ilvl="5" w:tplc="44FCDE4E">
      <w:start w:val="1"/>
      <w:numFmt w:val="lowerRoman"/>
      <w:lvlText w:val="%6."/>
      <w:lvlJc w:val="right"/>
      <w:pPr>
        <w:tabs>
          <w:tab w:val="num" w:pos="0"/>
        </w:tabs>
        <w:ind w:left="4320" w:hanging="180"/>
      </w:pPr>
    </w:lvl>
    <w:lvl w:ilvl="6" w:tplc="F37442B6">
      <w:start w:val="1"/>
      <w:numFmt w:val="decimal"/>
      <w:lvlText w:val="%7."/>
      <w:lvlJc w:val="left"/>
      <w:pPr>
        <w:tabs>
          <w:tab w:val="num" w:pos="0"/>
        </w:tabs>
        <w:ind w:left="5040" w:hanging="360"/>
      </w:pPr>
    </w:lvl>
    <w:lvl w:ilvl="7" w:tplc="9E9C62F8">
      <w:start w:val="1"/>
      <w:numFmt w:val="lowerLetter"/>
      <w:lvlText w:val="%8."/>
      <w:lvlJc w:val="left"/>
      <w:pPr>
        <w:tabs>
          <w:tab w:val="num" w:pos="0"/>
        </w:tabs>
        <w:ind w:left="5760" w:hanging="360"/>
      </w:pPr>
    </w:lvl>
    <w:lvl w:ilvl="8" w:tplc="1A463A5C">
      <w:start w:val="1"/>
      <w:numFmt w:val="lowerRoman"/>
      <w:lvlText w:val="%9."/>
      <w:lvlJc w:val="right"/>
      <w:pPr>
        <w:tabs>
          <w:tab w:val="num" w:pos="0"/>
        </w:tabs>
        <w:ind w:left="6480" w:hanging="180"/>
      </w:pPr>
    </w:lvl>
  </w:abstractNum>
  <w:abstractNum w:abstractNumId="6" w15:restartNumberingAfterBreak="0">
    <w:nsid w:val="16A55FB9"/>
    <w:multiLevelType w:val="multilevel"/>
    <w:tmpl w:val="338040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85D6789"/>
    <w:multiLevelType w:val="multilevel"/>
    <w:tmpl w:val="664AA4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E166AAD"/>
    <w:multiLevelType w:val="hybridMultilevel"/>
    <w:tmpl w:val="6186C82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2717E83"/>
    <w:multiLevelType w:val="hybridMultilevel"/>
    <w:tmpl w:val="66AAFE82"/>
    <w:lvl w:ilvl="0" w:tplc="05808098">
      <w:start w:val="3"/>
      <w:numFmt w:val="bullet"/>
      <w:lvlText w:val="-"/>
      <w:lvlJc w:val="left"/>
      <w:pPr>
        <w:ind w:left="720" w:hanging="360"/>
      </w:pPr>
      <w:rPr>
        <w:rFonts w:ascii="Arial" w:eastAsia="Aptos"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6C7547F"/>
    <w:multiLevelType w:val="hybridMultilevel"/>
    <w:tmpl w:val="AC26AC5C"/>
    <w:lvl w:ilvl="0" w:tplc="05808098">
      <w:start w:val="3"/>
      <w:numFmt w:val="bullet"/>
      <w:lvlText w:val="-"/>
      <w:lvlJc w:val="left"/>
      <w:pPr>
        <w:ind w:left="720" w:hanging="360"/>
      </w:pPr>
      <w:rPr>
        <w:rFonts w:ascii="Arial" w:eastAsia="Aptos"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82F40A6"/>
    <w:multiLevelType w:val="hybridMultilevel"/>
    <w:tmpl w:val="AA26EFC8"/>
    <w:lvl w:ilvl="0" w:tplc="05808098">
      <w:start w:val="3"/>
      <w:numFmt w:val="bullet"/>
      <w:lvlText w:val="-"/>
      <w:lvlJc w:val="left"/>
      <w:pPr>
        <w:ind w:left="720" w:hanging="360"/>
      </w:pPr>
      <w:rPr>
        <w:rFonts w:ascii="Arial" w:eastAsia="Aptos"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AC79D1"/>
    <w:multiLevelType w:val="multilevel"/>
    <w:tmpl w:val="C95449A6"/>
    <w:lvl w:ilvl="0">
      <w:start w:val="3"/>
      <w:numFmt w:val="bullet"/>
      <w:lvlText w:val="-"/>
      <w:lvlJc w:val="left"/>
      <w:pPr>
        <w:tabs>
          <w:tab w:val="num" w:pos="0"/>
        </w:tabs>
        <w:ind w:left="0" w:firstLine="0"/>
      </w:pPr>
      <w:rPr>
        <w:rFonts w:ascii="Arial" w:eastAsia="Aptos" w:hAnsi="Arial" w:cs="Arial" w:hint="default"/>
        <w:b/>
        <w:sz w:val="22"/>
      </w:rPr>
    </w:lvl>
    <w:lvl w:ilvl="1">
      <w:start w:val="1"/>
      <w:numFmt w:val="decimal"/>
      <w:suff w:val="space"/>
      <w:lvlText w:val="%1.%2."/>
      <w:lvlJc w:val="left"/>
      <w:pPr>
        <w:tabs>
          <w:tab w:val="num" w:pos="0"/>
        </w:tabs>
        <w:ind w:left="0" w:firstLine="0"/>
      </w:pPr>
      <w:rPr>
        <w:rFonts w:ascii="Arial" w:hAnsi="Arial" w:cs="Arial"/>
        <w:b/>
        <w:sz w:val="22"/>
      </w:rPr>
    </w:lvl>
    <w:lvl w:ilvl="2">
      <w:start w:val="1"/>
      <w:numFmt w:val="decimal"/>
      <w:suff w:val="space"/>
      <w:lvlText w:val="%1.%2.%3."/>
      <w:lvlJc w:val="left"/>
      <w:pPr>
        <w:tabs>
          <w:tab w:val="num" w:pos="0"/>
        </w:tabs>
        <w:ind w:left="0" w:firstLine="0"/>
      </w:pPr>
      <w:rPr>
        <w:rFonts w:ascii="Arial" w:hAnsi="Arial" w:cs="Arial"/>
        <w:b/>
        <w:sz w:val="22"/>
      </w:rPr>
    </w:lvl>
    <w:lvl w:ilvl="3">
      <w:start w:val="1"/>
      <w:numFmt w:val="decimal"/>
      <w:suff w:val="space"/>
      <w:lvlText w:val="%1.%2.%3.%4."/>
      <w:lvlJc w:val="left"/>
      <w:pPr>
        <w:tabs>
          <w:tab w:val="num" w:pos="0"/>
        </w:tabs>
        <w:ind w:left="0" w:firstLine="0"/>
      </w:pPr>
      <w:rPr>
        <w:rFonts w:ascii="Arial" w:hAnsi="Arial" w:cs="Arial"/>
        <w:b/>
        <w:bCs w:val="0"/>
        <w:sz w:val="22"/>
      </w:rPr>
    </w:lvl>
    <w:lvl w:ilvl="4">
      <w:start w:val="1"/>
      <w:numFmt w:val="decimal"/>
      <w:suff w:val="space"/>
      <w:lvlText w:val="%1.%2.%3.%4.%5."/>
      <w:lvlJc w:val="left"/>
      <w:pPr>
        <w:tabs>
          <w:tab w:val="num" w:pos="0"/>
        </w:tabs>
        <w:ind w:left="0" w:firstLine="0"/>
      </w:pPr>
      <w:rPr>
        <w:rFonts w:ascii="Arial" w:hAnsi="Arial" w:cs="Arial"/>
        <w:b/>
        <w:bCs w:val="0"/>
        <w:sz w:val="22"/>
      </w:rPr>
    </w:lvl>
    <w:lvl w:ilvl="5">
      <w:start w:val="1"/>
      <w:numFmt w:val="decimal"/>
      <w:suff w:val="space"/>
      <w:lvlText w:val="%1.%2.%3.%4.%5.%6."/>
      <w:lvlJc w:val="left"/>
      <w:pPr>
        <w:tabs>
          <w:tab w:val="num" w:pos="0"/>
        </w:tabs>
        <w:ind w:left="0" w:firstLine="0"/>
      </w:pPr>
      <w:rPr>
        <w:rFonts w:ascii="Arial" w:hAnsi="Arial" w:cs="Arial"/>
        <w:b/>
        <w:sz w:val="22"/>
      </w:rPr>
    </w:lvl>
    <w:lvl w:ilvl="6">
      <w:start w:val="1"/>
      <w:numFmt w:val="decimal"/>
      <w:suff w:val="space"/>
      <w:lvlText w:val="%1.%2.%3.%4.%5.%6.%7."/>
      <w:lvlJc w:val="left"/>
      <w:pPr>
        <w:tabs>
          <w:tab w:val="num" w:pos="0"/>
        </w:tabs>
        <w:ind w:left="0" w:firstLine="0"/>
      </w:pPr>
      <w:rPr>
        <w:rFonts w:ascii="Arial" w:hAnsi="Arial" w:cs="Arial"/>
        <w:b/>
        <w:sz w:val="22"/>
      </w:rPr>
    </w:lvl>
    <w:lvl w:ilvl="7">
      <w:start w:val="1"/>
      <w:numFmt w:val="decimal"/>
      <w:suff w:val="space"/>
      <w:lvlText w:val="%1.%2.%3.%4.%5.%6.%7.%8."/>
      <w:lvlJc w:val="left"/>
      <w:pPr>
        <w:tabs>
          <w:tab w:val="num" w:pos="0"/>
        </w:tabs>
        <w:ind w:left="0" w:firstLine="0"/>
      </w:pPr>
      <w:rPr>
        <w:rFonts w:ascii="Arial" w:hAnsi="Arial" w:cs="Arial"/>
        <w:b/>
        <w:sz w:val="22"/>
      </w:rPr>
    </w:lvl>
    <w:lvl w:ilvl="8">
      <w:start w:val="1"/>
      <w:numFmt w:val="decimal"/>
      <w:suff w:val="space"/>
      <w:lvlText w:val="%1.%2.%3.%4.%5.%6.%7.%8.%9."/>
      <w:lvlJc w:val="left"/>
      <w:pPr>
        <w:tabs>
          <w:tab w:val="num" w:pos="0"/>
        </w:tabs>
        <w:ind w:left="0" w:firstLine="0"/>
      </w:pPr>
      <w:rPr>
        <w:rFonts w:ascii="Arial" w:hAnsi="Arial" w:cs="Arial"/>
        <w:b/>
        <w:sz w:val="22"/>
      </w:rPr>
    </w:lvl>
  </w:abstractNum>
  <w:abstractNum w:abstractNumId="13" w15:restartNumberingAfterBreak="0">
    <w:nsid w:val="2A2D3DFD"/>
    <w:multiLevelType w:val="multilevel"/>
    <w:tmpl w:val="ACFA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328D3"/>
    <w:multiLevelType w:val="hybridMultilevel"/>
    <w:tmpl w:val="E3C228B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CE7435E"/>
    <w:multiLevelType w:val="multilevel"/>
    <w:tmpl w:val="3B489F8A"/>
    <w:lvl w:ilvl="0">
      <w:start w:val="1"/>
      <w:numFmt w:val="decimal"/>
      <w:lvlText w:val="%1."/>
      <w:lvlJc w:val="left"/>
      <w:pPr>
        <w:tabs>
          <w:tab w:val="num" w:pos="360"/>
        </w:tabs>
        <w:ind w:left="1080" w:hanging="360"/>
      </w:pPr>
      <w:rPr>
        <w:rFonts w:ascii="Arial" w:hAnsi="Arial"/>
        <w:b/>
        <w:bCs/>
      </w:rPr>
    </w:lvl>
    <w:lvl w:ilvl="1">
      <w:start w:val="1"/>
      <w:numFmt w:val="lowerLetter"/>
      <w:lvlText w:val="%2."/>
      <w:lvlJc w:val="left"/>
      <w:pPr>
        <w:tabs>
          <w:tab w:val="num" w:pos="360"/>
        </w:tabs>
        <w:ind w:left="1800" w:hanging="360"/>
      </w:pPr>
    </w:lvl>
    <w:lvl w:ilvl="2">
      <w:start w:val="1"/>
      <w:numFmt w:val="lowerRoman"/>
      <w:lvlText w:val="%3."/>
      <w:lvlJc w:val="right"/>
      <w:pPr>
        <w:tabs>
          <w:tab w:val="num" w:pos="360"/>
        </w:tabs>
        <w:ind w:left="2520" w:hanging="180"/>
      </w:pPr>
    </w:lvl>
    <w:lvl w:ilvl="3">
      <w:start w:val="1"/>
      <w:numFmt w:val="decimal"/>
      <w:lvlText w:val="%4."/>
      <w:lvlJc w:val="left"/>
      <w:pPr>
        <w:tabs>
          <w:tab w:val="num" w:pos="360"/>
        </w:tabs>
        <w:ind w:left="3240" w:hanging="360"/>
      </w:pPr>
    </w:lvl>
    <w:lvl w:ilvl="4">
      <w:start w:val="1"/>
      <w:numFmt w:val="lowerLetter"/>
      <w:lvlText w:val="%5."/>
      <w:lvlJc w:val="left"/>
      <w:pPr>
        <w:tabs>
          <w:tab w:val="num" w:pos="360"/>
        </w:tabs>
        <w:ind w:left="3960" w:hanging="360"/>
      </w:pPr>
    </w:lvl>
    <w:lvl w:ilvl="5">
      <w:start w:val="1"/>
      <w:numFmt w:val="lowerRoman"/>
      <w:lvlText w:val="%6."/>
      <w:lvlJc w:val="right"/>
      <w:pPr>
        <w:tabs>
          <w:tab w:val="num" w:pos="360"/>
        </w:tabs>
        <w:ind w:left="4680" w:hanging="180"/>
      </w:pPr>
    </w:lvl>
    <w:lvl w:ilvl="6">
      <w:start w:val="1"/>
      <w:numFmt w:val="decimal"/>
      <w:lvlText w:val="%7."/>
      <w:lvlJc w:val="left"/>
      <w:pPr>
        <w:tabs>
          <w:tab w:val="num" w:pos="360"/>
        </w:tabs>
        <w:ind w:left="5400" w:hanging="360"/>
      </w:pPr>
    </w:lvl>
    <w:lvl w:ilvl="7">
      <w:start w:val="1"/>
      <w:numFmt w:val="lowerLetter"/>
      <w:lvlText w:val="%8."/>
      <w:lvlJc w:val="left"/>
      <w:pPr>
        <w:tabs>
          <w:tab w:val="num" w:pos="360"/>
        </w:tabs>
        <w:ind w:left="6120" w:hanging="360"/>
      </w:pPr>
    </w:lvl>
    <w:lvl w:ilvl="8">
      <w:start w:val="1"/>
      <w:numFmt w:val="lowerRoman"/>
      <w:lvlText w:val="%9."/>
      <w:lvlJc w:val="right"/>
      <w:pPr>
        <w:tabs>
          <w:tab w:val="num" w:pos="360"/>
        </w:tabs>
        <w:ind w:left="6840" w:hanging="180"/>
      </w:pPr>
    </w:lvl>
  </w:abstractNum>
  <w:abstractNum w:abstractNumId="16" w15:restartNumberingAfterBreak="0">
    <w:nsid w:val="2E8C5DA7"/>
    <w:multiLevelType w:val="multilevel"/>
    <w:tmpl w:val="5FA6D014"/>
    <w:lvl w:ilvl="0">
      <w:start w:val="1"/>
      <w:numFmt w:val="decimal"/>
      <w:lvlText w:val="%1."/>
      <w:lvlJc w:val="left"/>
      <w:pPr>
        <w:ind w:left="360" w:hanging="360"/>
      </w:pPr>
      <w:rPr>
        <w:rFonts w:hint="default"/>
      </w:rPr>
    </w:lvl>
    <w:lvl w:ilvl="1">
      <w:start w:val="1"/>
      <w:numFmt w:val="decimal"/>
      <w:isLgl/>
      <w:lvlText w:val="%1.%2"/>
      <w:lvlJc w:val="left"/>
      <w:pPr>
        <w:ind w:left="660" w:hanging="66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3B4DA24"/>
    <w:multiLevelType w:val="hybridMultilevel"/>
    <w:tmpl w:val="8AF8E620"/>
    <w:lvl w:ilvl="0" w:tplc="E3ACF1A6">
      <w:start w:val="1"/>
      <w:numFmt w:val="bullet"/>
      <w:lvlText w:val=""/>
      <w:lvlJc w:val="left"/>
      <w:pPr>
        <w:ind w:left="720" w:hanging="360"/>
      </w:pPr>
      <w:rPr>
        <w:rFonts w:ascii="Symbol" w:hAnsi="Symbol" w:hint="default"/>
      </w:rPr>
    </w:lvl>
    <w:lvl w:ilvl="1" w:tplc="000C31EC">
      <w:start w:val="1"/>
      <w:numFmt w:val="bullet"/>
      <w:lvlText w:val="o"/>
      <w:lvlJc w:val="left"/>
      <w:pPr>
        <w:ind w:left="1440" w:hanging="360"/>
      </w:pPr>
      <w:rPr>
        <w:rFonts w:ascii="Courier New" w:hAnsi="Courier New" w:hint="default"/>
      </w:rPr>
    </w:lvl>
    <w:lvl w:ilvl="2" w:tplc="A92C97E4">
      <w:start w:val="1"/>
      <w:numFmt w:val="bullet"/>
      <w:lvlText w:val=""/>
      <w:lvlJc w:val="left"/>
      <w:pPr>
        <w:ind w:left="2160" w:hanging="360"/>
      </w:pPr>
      <w:rPr>
        <w:rFonts w:ascii="Wingdings" w:hAnsi="Wingdings" w:hint="default"/>
      </w:rPr>
    </w:lvl>
    <w:lvl w:ilvl="3" w:tplc="77FC91B2">
      <w:start w:val="1"/>
      <w:numFmt w:val="bullet"/>
      <w:lvlText w:val=""/>
      <w:lvlJc w:val="left"/>
      <w:pPr>
        <w:ind w:left="2880" w:hanging="360"/>
      </w:pPr>
      <w:rPr>
        <w:rFonts w:ascii="Symbol" w:hAnsi="Symbol" w:hint="default"/>
      </w:rPr>
    </w:lvl>
    <w:lvl w:ilvl="4" w:tplc="F3000EF4">
      <w:start w:val="1"/>
      <w:numFmt w:val="bullet"/>
      <w:lvlText w:val="o"/>
      <w:lvlJc w:val="left"/>
      <w:pPr>
        <w:ind w:left="3600" w:hanging="360"/>
      </w:pPr>
      <w:rPr>
        <w:rFonts w:ascii="Courier New" w:hAnsi="Courier New" w:hint="default"/>
      </w:rPr>
    </w:lvl>
    <w:lvl w:ilvl="5" w:tplc="28A45F04">
      <w:start w:val="1"/>
      <w:numFmt w:val="bullet"/>
      <w:lvlText w:val=""/>
      <w:lvlJc w:val="left"/>
      <w:pPr>
        <w:ind w:left="4320" w:hanging="360"/>
      </w:pPr>
      <w:rPr>
        <w:rFonts w:ascii="Wingdings" w:hAnsi="Wingdings" w:hint="default"/>
      </w:rPr>
    </w:lvl>
    <w:lvl w:ilvl="6" w:tplc="B3DA23C2">
      <w:start w:val="1"/>
      <w:numFmt w:val="bullet"/>
      <w:lvlText w:val=""/>
      <w:lvlJc w:val="left"/>
      <w:pPr>
        <w:ind w:left="5040" w:hanging="360"/>
      </w:pPr>
      <w:rPr>
        <w:rFonts w:ascii="Symbol" w:hAnsi="Symbol" w:hint="default"/>
      </w:rPr>
    </w:lvl>
    <w:lvl w:ilvl="7" w:tplc="245E8F08">
      <w:start w:val="1"/>
      <w:numFmt w:val="bullet"/>
      <w:lvlText w:val="o"/>
      <w:lvlJc w:val="left"/>
      <w:pPr>
        <w:ind w:left="5760" w:hanging="360"/>
      </w:pPr>
      <w:rPr>
        <w:rFonts w:ascii="Courier New" w:hAnsi="Courier New" w:hint="default"/>
      </w:rPr>
    </w:lvl>
    <w:lvl w:ilvl="8" w:tplc="C374C786">
      <w:start w:val="1"/>
      <w:numFmt w:val="bullet"/>
      <w:lvlText w:val=""/>
      <w:lvlJc w:val="left"/>
      <w:pPr>
        <w:ind w:left="6480" w:hanging="360"/>
      </w:pPr>
      <w:rPr>
        <w:rFonts w:ascii="Wingdings" w:hAnsi="Wingdings" w:hint="default"/>
      </w:rPr>
    </w:lvl>
  </w:abstractNum>
  <w:abstractNum w:abstractNumId="18" w15:restartNumberingAfterBreak="0">
    <w:nsid w:val="4560276D"/>
    <w:multiLevelType w:val="multilevel"/>
    <w:tmpl w:val="6F024286"/>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6B0239B"/>
    <w:multiLevelType w:val="hybridMultilevel"/>
    <w:tmpl w:val="2BC6D61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79E3720"/>
    <w:multiLevelType w:val="hybridMultilevel"/>
    <w:tmpl w:val="F9247AA0"/>
    <w:lvl w:ilvl="0" w:tplc="05808098">
      <w:start w:val="3"/>
      <w:numFmt w:val="bullet"/>
      <w:lvlText w:val="-"/>
      <w:lvlJc w:val="left"/>
      <w:pPr>
        <w:ind w:left="720" w:hanging="360"/>
      </w:pPr>
      <w:rPr>
        <w:rFonts w:ascii="Arial" w:eastAsia="Aptos"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7B249B3"/>
    <w:multiLevelType w:val="multilevel"/>
    <w:tmpl w:val="3BFCA7B4"/>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800" w:hanging="72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AA9087F"/>
    <w:multiLevelType w:val="multilevel"/>
    <w:tmpl w:val="55DC5B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A815C3"/>
    <w:multiLevelType w:val="multilevel"/>
    <w:tmpl w:val="2E3E4E3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F4334E6"/>
    <w:multiLevelType w:val="multilevel"/>
    <w:tmpl w:val="2C90DB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29E54E1"/>
    <w:multiLevelType w:val="multilevel"/>
    <w:tmpl w:val="00C85A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73886FFE"/>
    <w:multiLevelType w:val="multilevel"/>
    <w:tmpl w:val="7EB0CE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76FC063C"/>
    <w:multiLevelType w:val="hybridMultilevel"/>
    <w:tmpl w:val="58F04566"/>
    <w:lvl w:ilvl="0" w:tplc="24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8820230">
    <w:abstractNumId w:val="0"/>
  </w:num>
  <w:num w:numId="2" w16cid:durableId="1134903447">
    <w:abstractNumId w:val="4"/>
  </w:num>
  <w:num w:numId="3" w16cid:durableId="180556191">
    <w:abstractNumId w:val="18"/>
  </w:num>
  <w:num w:numId="4" w16cid:durableId="1502311445">
    <w:abstractNumId w:val="23"/>
  </w:num>
  <w:num w:numId="5" w16cid:durableId="1150513107">
    <w:abstractNumId w:val="21"/>
  </w:num>
  <w:num w:numId="6" w16cid:durableId="541290801">
    <w:abstractNumId w:val="15"/>
  </w:num>
  <w:num w:numId="7" w16cid:durableId="2102336761">
    <w:abstractNumId w:val="24"/>
  </w:num>
  <w:num w:numId="8" w16cid:durableId="1353342156">
    <w:abstractNumId w:val="25"/>
  </w:num>
  <w:num w:numId="9" w16cid:durableId="751199236">
    <w:abstractNumId w:val="1"/>
  </w:num>
  <w:num w:numId="10" w16cid:durableId="349382057">
    <w:abstractNumId w:val="6"/>
  </w:num>
  <w:num w:numId="11" w16cid:durableId="217136583">
    <w:abstractNumId w:val="7"/>
  </w:num>
  <w:num w:numId="12" w16cid:durableId="1841307787">
    <w:abstractNumId w:val="26"/>
  </w:num>
  <w:num w:numId="13" w16cid:durableId="2043675367">
    <w:abstractNumId w:val="2"/>
  </w:num>
  <w:num w:numId="14" w16cid:durableId="113712945">
    <w:abstractNumId w:val="3"/>
  </w:num>
  <w:num w:numId="15" w16cid:durableId="615021355">
    <w:abstractNumId w:val="5"/>
  </w:num>
  <w:num w:numId="16" w16cid:durableId="2091081034">
    <w:abstractNumId w:val="19"/>
  </w:num>
  <w:num w:numId="17" w16cid:durableId="1124272381">
    <w:abstractNumId w:val="14"/>
  </w:num>
  <w:num w:numId="18" w16cid:durableId="905266573">
    <w:abstractNumId w:val="27"/>
  </w:num>
  <w:num w:numId="19" w16cid:durableId="1413307675">
    <w:abstractNumId w:val="8"/>
  </w:num>
  <w:num w:numId="20" w16cid:durableId="1786146330">
    <w:abstractNumId w:val="11"/>
  </w:num>
  <w:num w:numId="21" w16cid:durableId="2029526667">
    <w:abstractNumId w:val="9"/>
  </w:num>
  <w:num w:numId="22" w16cid:durableId="10960438">
    <w:abstractNumId w:val="12"/>
  </w:num>
  <w:num w:numId="23" w16cid:durableId="1147741190">
    <w:abstractNumId w:val="20"/>
  </w:num>
  <w:num w:numId="24" w16cid:durableId="515534580">
    <w:abstractNumId w:val="10"/>
  </w:num>
  <w:num w:numId="25" w16cid:durableId="1076703390">
    <w:abstractNumId w:val="17"/>
  </w:num>
  <w:num w:numId="26" w16cid:durableId="327174747">
    <w:abstractNumId w:val="5"/>
  </w:num>
  <w:num w:numId="27" w16cid:durableId="2024551988">
    <w:abstractNumId w:val="16"/>
  </w:num>
  <w:num w:numId="28" w16cid:durableId="735857757">
    <w:abstractNumId w:val="22"/>
  </w:num>
  <w:num w:numId="29" w16cid:durableId="1581064118">
    <w:abstractNumId w:val="13"/>
  </w:num>
  <w:num w:numId="30" w16cid:durableId="1737240766">
    <w:abstractNumId w:val="5"/>
  </w:num>
  <w:num w:numId="31" w16cid:durableId="337774652">
    <w:abstractNumId w:val="5"/>
  </w:num>
  <w:num w:numId="32" w16cid:durableId="371000932">
    <w:abstractNumId w:val="5"/>
  </w:num>
  <w:num w:numId="33" w16cid:durableId="73401881">
    <w:abstractNumId w:val="5"/>
  </w:num>
  <w:num w:numId="34" w16cid:durableId="1999994707">
    <w:abstractNumId w:val="5"/>
  </w:num>
  <w:num w:numId="35" w16cid:durableId="644703798">
    <w:abstractNumId w:val="5"/>
  </w:num>
  <w:num w:numId="36" w16cid:durableId="1712269443">
    <w:abstractNumId w:val="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uario invitado">
    <w15:presenceInfo w15:providerId="AD" w15:userId="S::urn:spo:tenantanon#9c48e088-5e44-4b0d-93a0-eeb2c6127c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D4D"/>
    <w:rsid w:val="0000198C"/>
    <w:rsid w:val="0000210B"/>
    <w:rsid w:val="000028FE"/>
    <w:rsid w:val="00003852"/>
    <w:rsid w:val="00007672"/>
    <w:rsid w:val="00010873"/>
    <w:rsid w:val="00012D4E"/>
    <w:rsid w:val="00013CC2"/>
    <w:rsid w:val="000171DD"/>
    <w:rsid w:val="0002699F"/>
    <w:rsid w:val="000274C9"/>
    <w:rsid w:val="000310FD"/>
    <w:rsid w:val="000312F2"/>
    <w:rsid w:val="0003315E"/>
    <w:rsid w:val="00041117"/>
    <w:rsid w:val="0004299F"/>
    <w:rsid w:val="000438C8"/>
    <w:rsid w:val="00043989"/>
    <w:rsid w:val="000477A6"/>
    <w:rsid w:val="00050D68"/>
    <w:rsid w:val="00051E1B"/>
    <w:rsid w:val="0005662D"/>
    <w:rsid w:val="0005748A"/>
    <w:rsid w:val="000623F1"/>
    <w:rsid w:val="000632D3"/>
    <w:rsid w:val="00063CB8"/>
    <w:rsid w:val="000752E0"/>
    <w:rsid w:val="00075E59"/>
    <w:rsid w:val="000805F8"/>
    <w:rsid w:val="00081CB7"/>
    <w:rsid w:val="00081EA6"/>
    <w:rsid w:val="00083D00"/>
    <w:rsid w:val="000848B2"/>
    <w:rsid w:val="00092E83"/>
    <w:rsid w:val="000A124B"/>
    <w:rsid w:val="000A18AA"/>
    <w:rsid w:val="000A49AD"/>
    <w:rsid w:val="000A7824"/>
    <w:rsid w:val="000B1DC0"/>
    <w:rsid w:val="000C235A"/>
    <w:rsid w:val="000C245E"/>
    <w:rsid w:val="000C3FE7"/>
    <w:rsid w:val="000C4A5A"/>
    <w:rsid w:val="000C5339"/>
    <w:rsid w:val="000C75F1"/>
    <w:rsid w:val="000D2E33"/>
    <w:rsid w:val="000D5EBB"/>
    <w:rsid w:val="000D75C2"/>
    <w:rsid w:val="000E0E4C"/>
    <w:rsid w:val="000E64B0"/>
    <w:rsid w:val="000F370F"/>
    <w:rsid w:val="000F3BCD"/>
    <w:rsid w:val="000F40DC"/>
    <w:rsid w:val="000F5A4B"/>
    <w:rsid w:val="000F5F20"/>
    <w:rsid w:val="000F6C37"/>
    <w:rsid w:val="000F72FF"/>
    <w:rsid w:val="0010141E"/>
    <w:rsid w:val="0010243A"/>
    <w:rsid w:val="00105351"/>
    <w:rsid w:val="00111ABF"/>
    <w:rsid w:val="00114705"/>
    <w:rsid w:val="00115579"/>
    <w:rsid w:val="00116D73"/>
    <w:rsid w:val="00117014"/>
    <w:rsid w:val="00120F96"/>
    <w:rsid w:val="00121662"/>
    <w:rsid w:val="00122916"/>
    <w:rsid w:val="00124AB7"/>
    <w:rsid w:val="00132BC9"/>
    <w:rsid w:val="00134949"/>
    <w:rsid w:val="0014014A"/>
    <w:rsid w:val="001406B3"/>
    <w:rsid w:val="00140CE3"/>
    <w:rsid w:val="00145B5D"/>
    <w:rsid w:val="001461EF"/>
    <w:rsid w:val="001467B0"/>
    <w:rsid w:val="00146947"/>
    <w:rsid w:val="0015049F"/>
    <w:rsid w:val="001514C1"/>
    <w:rsid w:val="00153E08"/>
    <w:rsid w:val="00153F95"/>
    <w:rsid w:val="00154A8C"/>
    <w:rsid w:val="00155BCC"/>
    <w:rsid w:val="0016097B"/>
    <w:rsid w:val="001622AD"/>
    <w:rsid w:val="00163877"/>
    <w:rsid w:val="00165121"/>
    <w:rsid w:val="001709BB"/>
    <w:rsid w:val="00172FB5"/>
    <w:rsid w:val="00180AB3"/>
    <w:rsid w:val="0019617F"/>
    <w:rsid w:val="001966C4"/>
    <w:rsid w:val="001A0609"/>
    <w:rsid w:val="001A0FA6"/>
    <w:rsid w:val="001A1A5E"/>
    <w:rsid w:val="001A3208"/>
    <w:rsid w:val="001A4F53"/>
    <w:rsid w:val="001A5907"/>
    <w:rsid w:val="001A6214"/>
    <w:rsid w:val="001A7623"/>
    <w:rsid w:val="001A7948"/>
    <w:rsid w:val="001B0178"/>
    <w:rsid w:val="001B0ABA"/>
    <w:rsid w:val="001B396F"/>
    <w:rsid w:val="001B3DAD"/>
    <w:rsid w:val="001B49B6"/>
    <w:rsid w:val="001B50C4"/>
    <w:rsid w:val="001B6701"/>
    <w:rsid w:val="001B6AE6"/>
    <w:rsid w:val="001B787B"/>
    <w:rsid w:val="001C0EC8"/>
    <w:rsid w:val="001C1285"/>
    <w:rsid w:val="001C1EA5"/>
    <w:rsid w:val="001C5157"/>
    <w:rsid w:val="001C5AE2"/>
    <w:rsid w:val="001C79B5"/>
    <w:rsid w:val="001CD88E"/>
    <w:rsid w:val="001D0B94"/>
    <w:rsid w:val="001D1185"/>
    <w:rsid w:val="001D1792"/>
    <w:rsid w:val="001D4423"/>
    <w:rsid w:val="001D52CD"/>
    <w:rsid w:val="001D5AC6"/>
    <w:rsid w:val="001D7A7C"/>
    <w:rsid w:val="001E0302"/>
    <w:rsid w:val="001E0790"/>
    <w:rsid w:val="001E2B5A"/>
    <w:rsid w:val="001E3435"/>
    <w:rsid w:val="001E644A"/>
    <w:rsid w:val="001E6FCB"/>
    <w:rsid w:val="001E7C9F"/>
    <w:rsid w:val="001F0F33"/>
    <w:rsid w:val="001F56D4"/>
    <w:rsid w:val="001F6EBF"/>
    <w:rsid w:val="002017C8"/>
    <w:rsid w:val="00202E9E"/>
    <w:rsid w:val="002037DB"/>
    <w:rsid w:val="00204198"/>
    <w:rsid w:val="00211559"/>
    <w:rsid w:val="00213A7F"/>
    <w:rsid w:val="0022652E"/>
    <w:rsid w:val="00227618"/>
    <w:rsid w:val="002276A5"/>
    <w:rsid w:val="00231565"/>
    <w:rsid w:val="00232814"/>
    <w:rsid w:val="002355C7"/>
    <w:rsid w:val="002374D8"/>
    <w:rsid w:val="00240C6E"/>
    <w:rsid w:val="00242FEC"/>
    <w:rsid w:val="002438CB"/>
    <w:rsid w:val="00245471"/>
    <w:rsid w:val="0024715A"/>
    <w:rsid w:val="002514EB"/>
    <w:rsid w:val="0025350D"/>
    <w:rsid w:val="00260D4E"/>
    <w:rsid w:val="00261119"/>
    <w:rsid w:val="00261AF3"/>
    <w:rsid w:val="002665C7"/>
    <w:rsid w:val="00266A6B"/>
    <w:rsid w:val="00266B63"/>
    <w:rsid w:val="00266F4B"/>
    <w:rsid w:val="002723C0"/>
    <w:rsid w:val="002729F2"/>
    <w:rsid w:val="00280E96"/>
    <w:rsid w:val="00281E10"/>
    <w:rsid w:val="00282D24"/>
    <w:rsid w:val="00284DAB"/>
    <w:rsid w:val="002864BD"/>
    <w:rsid w:val="00287B5A"/>
    <w:rsid w:val="00287BAF"/>
    <w:rsid w:val="00290D8D"/>
    <w:rsid w:val="002910FE"/>
    <w:rsid w:val="00293139"/>
    <w:rsid w:val="0029426A"/>
    <w:rsid w:val="00294BA0"/>
    <w:rsid w:val="002959CC"/>
    <w:rsid w:val="0029674E"/>
    <w:rsid w:val="002A1469"/>
    <w:rsid w:val="002A1EE5"/>
    <w:rsid w:val="002A325D"/>
    <w:rsid w:val="002A4BCF"/>
    <w:rsid w:val="002A7FE1"/>
    <w:rsid w:val="002B008A"/>
    <w:rsid w:val="002B41C8"/>
    <w:rsid w:val="002B5538"/>
    <w:rsid w:val="002C0013"/>
    <w:rsid w:val="002C0E5B"/>
    <w:rsid w:val="002C0F4F"/>
    <w:rsid w:val="002C35B0"/>
    <w:rsid w:val="002C480E"/>
    <w:rsid w:val="002C6BA1"/>
    <w:rsid w:val="002D1C12"/>
    <w:rsid w:val="002D3990"/>
    <w:rsid w:val="002D57CB"/>
    <w:rsid w:val="002D5C63"/>
    <w:rsid w:val="002D5D12"/>
    <w:rsid w:val="002D6255"/>
    <w:rsid w:val="002D6341"/>
    <w:rsid w:val="002E08F0"/>
    <w:rsid w:val="002E3D3F"/>
    <w:rsid w:val="002E4BE1"/>
    <w:rsid w:val="002E5205"/>
    <w:rsid w:val="002E5534"/>
    <w:rsid w:val="002E6093"/>
    <w:rsid w:val="002E65DD"/>
    <w:rsid w:val="002E72B4"/>
    <w:rsid w:val="002E78F4"/>
    <w:rsid w:val="002F08D4"/>
    <w:rsid w:val="002F4962"/>
    <w:rsid w:val="002F64A4"/>
    <w:rsid w:val="002F7484"/>
    <w:rsid w:val="002F7BB6"/>
    <w:rsid w:val="00300692"/>
    <w:rsid w:val="003019A3"/>
    <w:rsid w:val="00305EDC"/>
    <w:rsid w:val="00313745"/>
    <w:rsid w:val="003138B7"/>
    <w:rsid w:val="003148F3"/>
    <w:rsid w:val="00316BA1"/>
    <w:rsid w:val="00317884"/>
    <w:rsid w:val="003203EC"/>
    <w:rsid w:val="003206EB"/>
    <w:rsid w:val="00320913"/>
    <w:rsid w:val="003234CD"/>
    <w:rsid w:val="00327B15"/>
    <w:rsid w:val="003315B5"/>
    <w:rsid w:val="00331CFE"/>
    <w:rsid w:val="00344BA9"/>
    <w:rsid w:val="0034569B"/>
    <w:rsid w:val="003457A4"/>
    <w:rsid w:val="00345E99"/>
    <w:rsid w:val="00351328"/>
    <w:rsid w:val="00352485"/>
    <w:rsid w:val="003528C6"/>
    <w:rsid w:val="00354268"/>
    <w:rsid w:val="00362702"/>
    <w:rsid w:val="0036465E"/>
    <w:rsid w:val="00365139"/>
    <w:rsid w:val="00366EDD"/>
    <w:rsid w:val="0036718A"/>
    <w:rsid w:val="003673A6"/>
    <w:rsid w:val="00372D34"/>
    <w:rsid w:val="003734EA"/>
    <w:rsid w:val="00377A53"/>
    <w:rsid w:val="00385CD6"/>
    <w:rsid w:val="00387366"/>
    <w:rsid w:val="00387E2E"/>
    <w:rsid w:val="00390ABD"/>
    <w:rsid w:val="003918AF"/>
    <w:rsid w:val="00391C2A"/>
    <w:rsid w:val="0039332E"/>
    <w:rsid w:val="0039348A"/>
    <w:rsid w:val="003942A4"/>
    <w:rsid w:val="00395D0B"/>
    <w:rsid w:val="00396C70"/>
    <w:rsid w:val="003A18FF"/>
    <w:rsid w:val="003A2266"/>
    <w:rsid w:val="003A6D75"/>
    <w:rsid w:val="003B273B"/>
    <w:rsid w:val="003B4521"/>
    <w:rsid w:val="003B49CA"/>
    <w:rsid w:val="003B4D4A"/>
    <w:rsid w:val="003B5BD7"/>
    <w:rsid w:val="003B795A"/>
    <w:rsid w:val="003B7A2B"/>
    <w:rsid w:val="003C0AE7"/>
    <w:rsid w:val="003C35C8"/>
    <w:rsid w:val="003C4228"/>
    <w:rsid w:val="003C5B95"/>
    <w:rsid w:val="003C73A2"/>
    <w:rsid w:val="003D17FB"/>
    <w:rsid w:val="003D2E44"/>
    <w:rsid w:val="003D2FF3"/>
    <w:rsid w:val="003D31E7"/>
    <w:rsid w:val="003D3AAD"/>
    <w:rsid w:val="003D47B7"/>
    <w:rsid w:val="003D7967"/>
    <w:rsid w:val="003D7E22"/>
    <w:rsid w:val="003E0B52"/>
    <w:rsid w:val="003E3629"/>
    <w:rsid w:val="003E4E90"/>
    <w:rsid w:val="003E5212"/>
    <w:rsid w:val="003E6A56"/>
    <w:rsid w:val="003F054C"/>
    <w:rsid w:val="003F0DB0"/>
    <w:rsid w:val="003F29A2"/>
    <w:rsid w:val="003F54AE"/>
    <w:rsid w:val="003F59F8"/>
    <w:rsid w:val="003F5B87"/>
    <w:rsid w:val="003F6B53"/>
    <w:rsid w:val="003F7900"/>
    <w:rsid w:val="00403B33"/>
    <w:rsid w:val="00404B2A"/>
    <w:rsid w:val="004106A6"/>
    <w:rsid w:val="00411D4B"/>
    <w:rsid w:val="0041322A"/>
    <w:rsid w:val="00414401"/>
    <w:rsid w:val="00417245"/>
    <w:rsid w:val="00417519"/>
    <w:rsid w:val="00417AEA"/>
    <w:rsid w:val="00421C74"/>
    <w:rsid w:val="00422775"/>
    <w:rsid w:val="004263F7"/>
    <w:rsid w:val="00431D7E"/>
    <w:rsid w:val="004407C7"/>
    <w:rsid w:val="00442D04"/>
    <w:rsid w:val="0044468C"/>
    <w:rsid w:val="00445707"/>
    <w:rsid w:val="00446749"/>
    <w:rsid w:val="00450CDE"/>
    <w:rsid w:val="00451D0B"/>
    <w:rsid w:val="0045508B"/>
    <w:rsid w:val="00455DAD"/>
    <w:rsid w:val="00456A9D"/>
    <w:rsid w:val="004571D7"/>
    <w:rsid w:val="0046038E"/>
    <w:rsid w:val="00463DBB"/>
    <w:rsid w:val="00470932"/>
    <w:rsid w:val="00481239"/>
    <w:rsid w:val="00482454"/>
    <w:rsid w:val="004837D3"/>
    <w:rsid w:val="00487A31"/>
    <w:rsid w:val="004903DE"/>
    <w:rsid w:val="004934C0"/>
    <w:rsid w:val="004943BB"/>
    <w:rsid w:val="00496713"/>
    <w:rsid w:val="00497786"/>
    <w:rsid w:val="004A1EB8"/>
    <w:rsid w:val="004A3583"/>
    <w:rsid w:val="004A3AA8"/>
    <w:rsid w:val="004A64D6"/>
    <w:rsid w:val="004A66BA"/>
    <w:rsid w:val="004A6A68"/>
    <w:rsid w:val="004B1C77"/>
    <w:rsid w:val="004B235D"/>
    <w:rsid w:val="004B5066"/>
    <w:rsid w:val="004C3901"/>
    <w:rsid w:val="004C541F"/>
    <w:rsid w:val="004D081D"/>
    <w:rsid w:val="004D1AE8"/>
    <w:rsid w:val="004D1E8D"/>
    <w:rsid w:val="004D2DF7"/>
    <w:rsid w:val="004D4512"/>
    <w:rsid w:val="004D4CBC"/>
    <w:rsid w:val="004D53B5"/>
    <w:rsid w:val="004D64E5"/>
    <w:rsid w:val="004E4D94"/>
    <w:rsid w:val="004E6B42"/>
    <w:rsid w:val="004F294A"/>
    <w:rsid w:val="004F7601"/>
    <w:rsid w:val="005000D9"/>
    <w:rsid w:val="00500ADC"/>
    <w:rsid w:val="00501560"/>
    <w:rsid w:val="00503312"/>
    <w:rsid w:val="005042B6"/>
    <w:rsid w:val="00507076"/>
    <w:rsid w:val="00510896"/>
    <w:rsid w:val="00510902"/>
    <w:rsid w:val="0051108A"/>
    <w:rsid w:val="00516F2A"/>
    <w:rsid w:val="00517D1E"/>
    <w:rsid w:val="005208BA"/>
    <w:rsid w:val="005243E0"/>
    <w:rsid w:val="005258AE"/>
    <w:rsid w:val="005269DD"/>
    <w:rsid w:val="0052717E"/>
    <w:rsid w:val="005408D4"/>
    <w:rsid w:val="00541513"/>
    <w:rsid w:val="00541B09"/>
    <w:rsid w:val="0054320A"/>
    <w:rsid w:val="00544275"/>
    <w:rsid w:val="005455CA"/>
    <w:rsid w:val="00546541"/>
    <w:rsid w:val="005502DD"/>
    <w:rsid w:val="0055090D"/>
    <w:rsid w:val="0055249F"/>
    <w:rsid w:val="005531F3"/>
    <w:rsid w:val="0055454B"/>
    <w:rsid w:val="0055477F"/>
    <w:rsid w:val="00557E17"/>
    <w:rsid w:val="0055D473"/>
    <w:rsid w:val="00560419"/>
    <w:rsid w:val="005636B6"/>
    <w:rsid w:val="00572628"/>
    <w:rsid w:val="00572849"/>
    <w:rsid w:val="005732DB"/>
    <w:rsid w:val="00573CC0"/>
    <w:rsid w:val="00574064"/>
    <w:rsid w:val="005841CB"/>
    <w:rsid w:val="005922F7"/>
    <w:rsid w:val="00592C4D"/>
    <w:rsid w:val="00592D94"/>
    <w:rsid w:val="00592FFE"/>
    <w:rsid w:val="005975DE"/>
    <w:rsid w:val="005A29B3"/>
    <w:rsid w:val="005A2C39"/>
    <w:rsid w:val="005A3DE7"/>
    <w:rsid w:val="005A6B30"/>
    <w:rsid w:val="005A7194"/>
    <w:rsid w:val="005A7E3E"/>
    <w:rsid w:val="005B448A"/>
    <w:rsid w:val="005B60A6"/>
    <w:rsid w:val="005C1204"/>
    <w:rsid w:val="005C3EEA"/>
    <w:rsid w:val="005C4D42"/>
    <w:rsid w:val="005C6B73"/>
    <w:rsid w:val="005D0DB2"/>
    <w:rsid w:val="005D2674"/>
    <w:rsid w:val="005D3DB8"/>
    <w:rsid w:val="005D4954"/>
    <w:rsid w:val="005D5830"/>
    <w:rsid w:val="005D7A7C"/>
    <w:rsid w:val="005E10D0"/>
    <w:rsid w:val="005E1685"/>
    <w:rsid w:val="005E1A77"/>
    <w:rsid w:val="005E40DA"/>
    <w:rsid w:val="005E46C0"/>
    <w:rsid w:val="005E72D5"/>
    <w:rsid w:val="005E7669"/>
    <w:rsid w:val="005E796E"/>
    <w:rsid w:val="005F0DC4"/>
    <w:rsid w:val="005F4A7A"/>
    <w:rsid w:val="00601B56"/>
    <w:rsid w:val="00610214"/>
    <w:rsid w:val="0062054B"/>
    <w:rsid w:val="006206FF"/>
    <w:rsid w:val="00621306"/>
    <w:rsid w:val="006309F6"/>
    <w:rsid w:val="00631BF7"/>
    <w:rsid w:val="006339D9"/>
    <w:rsid w:val="00636569"/>
    <w:rsid w:val="006376BC"/>
    <w:rsid w:val="006405AB"/>
    <w:rsid w:val="00640A3C"/>
    <w:rsid w:val="00642F88"/>
    <w:rsid w:val="006432CC"/>
    <w:rsid w:val="00643DE6"/>
    <w:rsid w:val="00652357"/>
    <w:rsid w:val="00656CFA"/>
    <w:rsid w:val="00657455"/>
    <w:rsid w:val="00663E7B"/>
    <w:rsid w:val="006641B3"/>
    <w:rsid w:val="00664E7C"/>
    <w:rsid w:val="00664FED"/>
    <w:rsid w:val="0066672A"/>
    <w:rsid w:val="00666751"/>
    <w:rsid w:val="006673EB"/>
    <w:rsid w:val="00667AA5"/>
    <w:rsid w:val="0066DBC3"/>
    <w:rsid w:val="0067016B"/>
    <w:rsid w:val="00674DBA"/>
    <w:rsid w:val="00676326"/>
    <w:rsid w:val="006765F1"/>
    <w:rsid w:val="006771EE"/>
    <w:rsid w:val="00680213"/>
    <w:rsid w:val="006807F4"/>
    <w:rsid w:val="00681534"/>
    <w:rsid w:val="00681D7D"/>
    <w:rsid w:val="006838DD"/>
    <w:rsid w:val="00684F27"/>
    <w:rsid w:val="00687328"/>
    <w:rsid w:val="0068747F"/>
    <w:rsid w:val="00691B24"/>
    <w:rsid w:val="00691CB8"/>
    <w:rsid w:val="0069288F"/>
    <w:rsid w:val="00693159"/>
    <w:rsid w:val="00693C26"/>
    <w:rsid w:val="006960F3"/>
    <w:rsid w:val="006964B7"/>
    <w:rsid w:val="006967E7"/>
    <w:rsid w:val="006A1754"/>
    <w:rsid w:val="006A2A21"/>
    <w:rsid w:val="006A39A7"/>
    <w:rsid w:val="006B0C06"/>
    <w:rsid w:val="006C2AE0"/>
    <w:rsid w:val="006C52DF"/>
    <w:rsid w:val="006C7142"/>
    <w:rsid w:val="006D03F5"/>
    <w:rsid w:val="006D2289"/>
    <w:rsid w:val="006D22F8"/>
    <w:rsid w:val="006D3854"/>
    <w:rsid w:val="006D4BF5"/>
    <w:rsid w:val="006D61BB"/>
    <w:rsid w:val="006D629B"/>
    <w:rsid w:val="006D62C6"/>
    <w:rsid w:val="006E04F3"/>
    <w:rsid w:val="006E1B97"/>
    <w:rsid w:val="006E221D"/>
    <w:rsid w:val="006E70FD"/>
    <w:rsid w:val="006E76B0"/>
    <w:rsid w:val="006F7672"/>
    <w:rsid w:val="0070084E"/>
    <w:rsid w:val="00700B24"/>
    <w:rsid w:val="00700CB8"/>
    <w:rsid w:val="0070264D"/>
    <w:rsid w:val="00705975"/>
    <w:rsid w:val="0070736A"/>
    <w:rsid w:val="00711BE8"/>
    <w:rsid w:val="0071623E"/>
    <w:rsid w:val="00717227"/>
    <w:rsid w:val="00717C21"/>
    <w:rsid w:val="007214FC"/>
    <w:rsid w:val="00722E2B"/>
    <w:rsid w:val="0072349F"/>
    <w:rsid w:val="0072406B"/>
    <w:rsid w:val="00724422"/>
    <w:rsid w:val="0072456C"/>
    <w:rsid w:val="00725B0B"/>
    <w:rsid w:val="00727822"/>
    <w:rsid w:val="007302A1"/>
    <w:rsid w:val="00731B81"/>
    <w:rsid w:val="00732488"/>
    <w:rsid w:val="00732668"/>
    <w:rsid w:val="00733865"/>
    <w:rsid w:val="00734CD6"/>
    <w:rsid w:val="007375F5"/>
    <w:rsid w:val="00740150"/>
    <w:rsid w:val="00741FA6"/>
    <w:rsid w:val="00743672"/>
    <w:rsid w:val="007449F7"/>
    <w:rsid w:val="007459D6"/>
    <w:rsid w:val="007459DC"/>
    <w:rsid w:val="00750F62"/>
    <w:rsid w:val="00752C52"/>
    <w:rsid w:val="00757161"/>
    <w:rsid w:val="00763090"/>
    <w:rsid w:val="00763E5B"/>
    <w:rsid w:val="007646B0"/>
    <w:rsid w:val="007651BA"/>
    <w:rsid w:val="00770731"/>
    <w:rsid w:val="00770F7D"/>
    <w:rsid w:val="007710C4"/>
    <w:rsid w:val="007713B3"/>
    <w:rsid w:val="00772CEB"/>
    <w:rsid w:val="00776AAD"/>
    <w:rsid w:val="00781A41"/>
    <w:rsid w:val="007913AF"/>
    <w:rsid w:val="00792180"/>
    <w:rsid w:val="00792A33"/>
    <w:rsid w:val="00794E99"/>
    <w:rsid w:val="007977CD"/>
    <w:rsid w:val="007A108F"/>
    <w:rsid w:val="007A3296"/>
    <w:rsid w:val="007A36CD"/>
    <w:rsid w:val="007A4854"/>
    <w:rsid w:val="007A4FB8"/>
    <w:rsid w:val="007A5240"/>
    <w:rsid w:val="007A6B37"/>
    <w:rsid w:val="007B0D6D"/>
    <w:rsid w:val="007B2045"/>
    <w:rsid w:val="007B7289"/>
    <w:rsid w:val="007C07E2"/>
    <w:rsid w:val="007C0C65"/>
    <w:rsid w:val="007C231F"/>
    <w:rsid w:val="007C29C0"/>
    <w:rsid w:val="007C3FEE"/>
    <w:rsid w:val="007C4652"/>
    <w:rsid w:val="007C4828"/>
    <w:rsid w:val="007D012A"/>
    <w:rsid w:val="007D1E23"/>
    <w:rsid w:val="007D3246"/>
    <w:rsid w:val="007D6926"/>
    <w:rsid w:val="007D701E"/>
    <w:rsid w:val="007DB04E"/>
    <w:rsid w:val="007E01D9"/>
    <w:rsid w:val="007E086F"/>
    <w:rsid w:val="007E10B7"/>
    <w:rsid w:val="007E18D4"/>
    <w:rsid w:val="007E4979"/>
    <w:rsid w:val="007E6872"/>
    <w:rsid w:val="007E7C40"/>
    <w:rsid w:val="007F0639"/>
    <w:rsid w:val="007F22B4"/>
    <w:rsid w:val="007F3A3F"/>
    <w:rsid w:val="007F4038"/>
    <w:rsid w:val="007F4062"/>
    <w:rsid w:val="007F4C1A"/>
    <w:rsid w:val="0080378B"/>
    <w:rsid w:val="00806784"/>
    <w:rsid w:val="00811CB9"/>
    <w:rsid w:val="0081375C"/>
    <w:rsid w:val="0081433B"/>
    <w:rsid w:val="0081583A"/>
    <w:rsid w:val="0082423C"/>
    <w:rsid w:val="00825D4D"/>
    <w:rsid w:val="008335B6"/>
    <w:rsid w:val="00834BA8"/>
    <w:rsid w:val="00840094"/>
    <w:rsid w:val="00840A23"/>
    <w:rsid w:val="00845D5C"/>
    <w:rsid w:val="0084643C"/>
    <w:rsid w:val="00846A37"/>
    <w:rsid w:val="00850D9B"/>
    <w:rsid w:val="008523FD"/>
    <w:rsid w:val="00854563"/>
    <w:rsid w:val="008747C7"/>
    <w:rsid w:val="008766FE"/>
    <w:rsid w:val="008768E4"/>
    <w:rsid w:val="00882103"/>
    <w:rsid w:val="00882628"/>
    <w:rsid w:val="00882F6D"/>
    <w:rsid w:val="00884E30"/>
    <w:rsid w:val="00890A25"/>
    <w:rsid w:val="00892D73"/>
    <w:rsid w:val="0089607D"/>
    <w:rsid w:val="008A2916"/>
    <w:rsid w:val="008A50CE"/>
    <w:rsid w:val="008A5833"/>
    <w:rsid w:val="008B255C"/>
    <w:rsid w:val="008B261C"/>
    <w:rsid w:val="008B4760"/>
    <w:rsid w:val="008C09F0"/>
    <w:rsid w:val="008C180E"/>
    <w:rsid w:val="008C6DD2"/>
    <w:rsid w:val="008D15FE"/>
    <w:rsid w:val="008D1E4E"/>
    <w:rsid w:val="008D30BB"/>
    <w:rsid w:val="008D3AB0"/>
    <w:rsid w:val="008D3BD9"/>
    <w:rsid w:val="008D441F"/>
    <w:rsid w:val="008D563B"/>
    <w:rsid w:val="008E1C85"/>
    <w:rsid w:val="008E2193"/>
    <w:rsid w:val="008E5FD8"/>
    <w:rsid w:val="008E7AC9"/>
    <w:rsid w:val="008F057C"/>
    <w:rsid w:val="008F1723"/>
    <w:rsid w:val="008F27E8"/>
    <w:rsid w:val="008F2E95"/>
    <w:rsid w:val="008F7D68"/>
    <w:rsid w:val="00902E13"/>
    <w:rsid w:val="009036E5"/>
    <w:rsid w:val="0091031B"/>
    <w:rsid w:val="00915AE6"/>
    <w:rsid w:val="009161A4"/>
    <w:rsid w:val="009219F1"/>
    <w:rsid w:val="00921CE3"/>
    <w:rsid w:val="00924C03"/>
    <w:rsid w:val="009250BE"/>
    <w:rsid w:val="009266A7"/>
    <w:rsid w:val="00932434"/>
    <w:rsid w:val="00935097"/>
    <w:rsid w:val="009373DA"/>
    <w:rsid w:val="00937622"/>
    <w:rsid w:val="00937BF0"/>
    <w:rsid w:val="00937E22"/>
    <w:rsid w:val="00940827"/>
    <w:rsid w:val="00941A87"/>
    <w:rsid w:val="0094369D"/>
    <w:rsid w:val="00943D0D"/>
    <w:rsid w:val="009443A5"/>
    <w:rsid w:val="00950979"/>
    <w:rsid w:val="00955D30"/>
    <w:rsid w:val="009568CB"/>
    <w:rsid w:val="009569B5"/>
    <w:rsid w:val="00960B56"/>
    <w:rsid w:val="009657FC"/>
    <w:rsid w:val="00965948"/>
    <w:rsid w:val="0096616C"/>
    <w:rsid w:val="009710C3"/>
    <w:rsid w:val="0097249E"/>
    <w:rsid w:val="0097292E"/>
    <w:rsid w:val="00973E0A"/>
    <w:rsid w:val="00974232"/>
    <w:rsid w:val="0097587D"/>
    <w:rsid w:val="0097661A"/>
    <w:rsid w:val="009778B9"/>
    <w:rsid w:val="00980957"/>
    <w:rsid w:val="009825D1"/>
    <w:rsid w:val="00991BE8"/>
    <w:rsid w:val="009945B2"/>
    <w:rsid w:val="00997CC1"/>
    <w:rsid w:val="009A16DF"/>
    <w:rsid w:val="009A4FAB"/>
    <w:rsid w:val="009A6491"/>
    <w:rsid w:val="009A6DAE"/>
    <w:rsid w:val="009B0448"/>
    <w:rsid w:val="009B2CBA"/>
    <w:rsid w:val="009B3910"/>
    <w:rsid w:val="009B41DA"/>
    <w:rsid w:val="009C0C68"/>
    <w:rsid w:val="009C381A"/>
    <w:rsid w:val="009C3D86"/>
    <w:rsid w:val="009C3D8F"/>
    <w:rsid w:val="009D0FCB"/>
    <w:rsid w:val="009D16BB"/>
    <w:rsid w:val="009D20D5"/>
    <w:rsid w:val="009D25AF"/>
    <w:rsid w:val="009D5EAC"/>
    <w:rsid w:val="009E3510"/>
    <w:rsid w:val="009E3E10"/>
    <w:rsid w:val="009E42DF"/>
    <w:rsid w:val="009E6306"/>
    <w:rsid w:val="009F0D29"/>
    <w:rsid w:val="009F140C"/>
    <w:rsid w:val="009F14F1"/>
    <w:rsid w:val="009F3817"/>
    <w:rsid w:val="009F7C92"/>
    <w:rsid w:val="00A00986"/>
    <w:rsid w:val="00A103DE"/>
    <w:rsid w:val="00A12482"/>
    <w:rsid w:val="00A12A2E"/>
    <w:rsid w:val="00A134BF"/>
    <w:rsid w:val="00A168F5"/>
    <w:rsid w:val="00A17CFE"/>
    <w:rsid w:val="00A20959"/>
    <w:rsid w:val="00A223B8"/>
    <w:rsid w:val="00A33061"/>
    <w:rsid w:val="00A4384C"/>
    <w:rsid w:val="00A4494A"/>
    <w:rsid w:val="00A44F5D"/>
    <w:rsid w:val="00A502F0"/>
    <w:rsid w:val="00A505C9"/>
    <w:rsid w:val="00A5138C"/>
    <w:rsid w:val="00A51A58"/>
    <w:rsid w:val="00A55088"/>
    <w:rsid w:val="00A55FD2"/>
    <w:rsid w:val="00A5678B"/>
    <w:rsid w:val="00A56D0A"/>
    <w:rsid w:val="00A605A7"/>
    <w:rsid w:val="00A614E1"/>
    <w:rsid w:val="00A6302A"/>
    <w:rsid w:val="00A63053"/>
    <w:rsid w:val="00A65213"/>
    <w:rsid w:val="00A6646E"/>
    <w:rsid w:val="00A6685A"/>
    <w:rsid w:val="00A67141"/>
    <w:rsid w:val="00A67222"/>
    <w:rsid w:val="00A70605"/>
    <w:rsid w:val="00A71486"/>
    <w:rsid w:val="00A742E3"/>
    <w:rsid w:val="00A75462"/>
    <w:rsid w:val="00A75C6A"/>
    <w:rsid w:val="00A80F91"/>
    <w:rsid w:val="00A82425"/>
    <w:rsid w:val="00A83A8D"/>
    <w:rsid w:val="00A84893"/>
    <w:rsid w:val="00A84FB8"/>
    <w:rsid w:val="00A87338"/>
    <w:rsid w:val="00A91607"/>
    <w:rsid w:val="00A92F8B"/>
    <w:rsid w:val="00A934E0"/>
    <w:rsid w:val="00A940E9"/>
    <w:rsid w:val="00A94B2D"/>
    <w:rsid w:val="00A95980"/>
    <w:rsid w:val="00AA2997"/>
    <w:rsid w:val="00AA645A"/>
    <w:rsid w:val="00AA7584"/>
    <w:rsid w:val="00AB1915"/>
    <w:rsid w:val="00AB2B02"/>
    <w:rsid w:val="00AB3244"/>
    <w:rsid w:val="00AB4F41"/>
    <w:rsid w:val="00AB5232"/>
    <w:rsid w:val="00AB63AB"/>
    <w:rsid w:val="00AB6D33"/>
    <w:rsid w:val="00AC44DA"/>
    <w:rsid w:val="00AC4F6F"/>
    <w:rsid w:val="00AC7AC8"/>
    <w:rsid w:val="00AD1A70"/>
    <w:rsid w:val="00AD4E22"/>
    <w:rsid w:val="00AD5A09"/>
    <w:rsid w:val="00AE2E25"/>
    <w:rsid w:val="00AE352F"/>
    <w:rsid w:val="00AE489C"/>
    <w:rsid w:val="00AF283A"/>
    <w:rsid w:val="00AF33E0"/>
    <w:rsid w:val="00AF4124"/>
    <w:rsid w:val="00AF4AD4"/>
    <w:rsid w:val="00AF5DB5"/>
    <w:rsid w:val="00B00463"/>
    <w:rsid w:val="00B02631"/>
    <w:rsid w:val="00B04DD2"/>
    <w:rsid w:val="00B06357"/>
    <w:rsid w:val="00B1040A"/>
    <w:rsid w:val="00B13A8A"/>
    <w:rsid w:val="00B13ADC"/>
    <w:rsid w:val="00B14AD8"/>
    <w:rsid w:val="00B15B62"/>
    <w:rsid w:val="00B16352"/>
    <w:rsid w:val="00B166BC"/>
    <w:rsid w:val="00B17225"/>
    <w:rsid w:val="00B2034C"/>
    <w:rsid w:val="00B26226"/>
    <w:rsid w:val="00B2666B"/>
    <w:rsid w:val="00B27B13"/>
    <w:rsid w:val="00B308AC"/>
    <w:rsid w:val="00B31E48"/>
    <w:rsid w:val="00B33197"/>
    <w:rsid w:val="00B333E4"/>
    <w:rsid w:val="00B350ED"/>
    <w:rsid w:val="00B360D1"/>
    <w:rsid w:val="00B4243A"/>
    <w:rsid w:val="00B44DC4"/>
    <w:rsid w:val="00B46060"/>
    <w:rsid w:val="00B521A1"/>
    <w:rsid w:val="00B52387"/>
    <w:rsid w:val="00B54C33"/>
    <w:rsid w:val="00B60334"/>
    <w:rsid w:val="00B6087B"/>
    <w:rsid w:val="00B61D80"/>
    <w:rsid w:val="00B623DF"/>
    <w:rsid w:val="00B630E6"/>
    <w:rsid w:val="00B64B4B"/>
    <w:rsid w:val="00B65705"/>
    <w:rsid w:val="00B66DC5"/>
    <w:rsid w:val="00B6707C"/>
    <w:rsid w:val="00B75E6B"/>
    <w:rsid w:val="00B763AF"/>
    <w:rsid w:val="00B76B31"/>
    <w:rsid w:val="00B77715"/>
    <w:rsid w:val="00B8034D"/>
    <w:rsid w:val="00B8092D"/>
    <w:rsid w:val="00B80DE7"/>
    <w:rsid w:val="00B81A9C"/>
    <w:rsid w:val="00B9105C"/>
    <w:rsid w:val="00B9275F"/>
    <w:rsid w:val="00B96118"/>
    <w:rsid w:val="00B9665D"/>
    <w:rsid w:val="00B97591"/>
    <w:rsid w:val="00B97882"/>
    <w:rsid w:val="00BA2ECA"/>
    <w:rsid w:val="00BA36D8"/>
    <w:rsid w:val="00BA7CE7"/>
    <w:rsid w:val="00BB3725"/>
    <w:rsid w:val="00BB59FD"/>
    <w:rsid w:val="00BB66EC"/>
    <w:rsid w:val="00BB7729"/>
    <w:rsid w:val="00BC1FA5"/>
    <w:rsid w:val="00BC3FCD"/>
    <w:rsid w:val="00BD2506"/>
    <w:rsid w:val="00BD256B"/>
    <w:rsid w:val="00BD60F3"/>
    <w:rsid w:val="00BE4B50"/>
    <w:rsid w:val="00BE672E"/>
    <w:rsid w:val="00BE695B"/>
    <w:rsid w:val="00BF10C5"/>
    <w:rsid w:val="00BF2122"/>
    <w:rsid w:val="00BF2E09"/>
    <w:rsid w:val="00BF41FA"/>
    <w:rsid w:val="00C00B00"/>
    <w:rsid w:val="00C0552B"/>
    <w:rsid w:val="00C06090"/>
    <w:rsid w:val="00C07048"/>
    <w:rsid w:val="00C17028"/>
    <w:rsid w:val="00C23970"/>
    <w:rsid w:val="00C23B2D"/>
    <w:rsid w:val="00C241FC"/>
    <w:rsid w:val="00C25612"/>
    <w:rsid w:val="00C275C4"/>
    <w:rsid w:val="00C2785E"/>
    <w:rsid w:val="00C3033D"/>
    <w:rsid w:val="00C31A96"/>
    <w:rsid w:val="00C31B8E"/>
    <w:rsid w:val="00C35122"/>
    <w:rsid w:val="00C408DF"/>
    <w:rsid w:val="00C41D57"/>
    <w:rsid w:val="00C43A30"/>
    <w:rsid w:val="00C44276"/>
    <w:rsid w:val="00C45403"/>
    <w:rsid w:val="00C531DB"/>
    <w:rsid w:val="00C53781"/>
    <w:rsid w:val="00C5521D"/>
    <w:rsid w:val="00C60B14"/>
    <w:rsid w:val="00C61621"/>
    <w:rsid w:val="00C635F5"/>
    <w:rsid w:val="00C735D5"/>
    <w:rsid w:val="00C73F4E"/>
    <w:rsid w:val="00C74ABE"/>
    <w:rsid w:val="00C74DCA"/>
    <w:rsid w:val="00C804E7"/>
    <w:rsid w:val="00C809A4"/>
    <w:rsid w:val="00C8722A"/>
    <w:rsid w:val="00C87ABE"/>
    <w:rsid w:val="00C883AE"/>
    <w:rsid w:val="00C91B5D"/>
    <w:rsid w:val="00C9270C"/>
    <w:rsid w:val="00C92AE1"/>
    <w:rsid w:val="00C95135"/>
    <w:rsid w:val="00CA291C"/>
    <w:rsid w:val="00CA3478"/>
    <w:rsid w:val="00CA452C"/>
    <w:rsid w:val="00CA4AEA"/>
    <w:rsid w:val="00CB0051"/>
    <w:rsid w:val="00CB17AC"/>
    <w:rsid w:val="00CB500A"/>
    <w:rsid w:val="00CB5622"/>
    <w:rsid w:val="00CB722F"/>
    <w:rsid w:val="00CC08CE"/>
    <w:rsid w:val="00CC1E56"/>
    <w:rsid w:val="00CC2184"/>
    <w:rsid w:val="00CC6633"/>
    <w:rsid w:val="00CC6987"/>
    <w:rsid w:val="00CD0609"/>
    <w:rsid w:val="00CD300E"/>
    <w:rsid w:val="00CD383C"/>
    <w:rsid w:val="00CD651A"/>
    <w:rsid w:val="00CD7229"/>
    <w:rsid w:val="00CE02F4"/>
    <w:rsid w:val="00CE0731"/>
    <w:rsid w:val="00CE1A6D"/>
    <w:rsid w:val="00CE2348"/>
    <w:rsid w:val="00CE2C17"/>
    <w:rsid w:val="00CF0F21"/>
    <w:rsid w:val="00CF112F"/>
    <w:rsid w:val="00CF1573"/>
    <w:rsid w:val="00CF2177"/>
    <w:rsid w:val="00CF2225"/>
    <w:rsid w:val="00CF2C67"/>
    <w:rsid w:val="00CF3112"/>
    <w:rsid w:val="00CF4651"/>
    <w:rsid w:val="00CF4DF8"/>
    <w:rsid w:val="00D004C7"/>
    <w:rsid w:val="00D008E2"/>
    <w:rsid w:val="00D02B6E"/>
    <w:rsid w:val="00D042ED"/>
    <w:rsid w:val="00D0592F"/>
    <w:rsid w:val="00D0674F"/>
    <w:rsid w:val="00D15901"/>
    <w:rsid w:val="00D17D5F"/>
    <w:rsid w:val="00D21DEB"/>
    <w:rsid w:val="00D22AE6"/>
    <w:rsid w:val="00D2759D"/>
    <w:rsid w:val="00D326AA"/>
    <w:rsid w:val="00D33CEA"/>
    <w:rsid w:val="00D34975"/>
    <w:rsid w:val="00D34BD0"/>
    <w:rsid w:val="00D35BC3"/>
    <w:rsid w:val="00D36165"/>
    <w:rsid w:val="00D54A65"/>
    <w:rsid w:val="00D5566F"/>
    <w:rsid w:val="00D56325"/>
    <w:rsid w:val="00D57CED"/>
    <w:rsid w:val="00D62844"/>
    <w:rsid w:val="00D66591"/>
    <w:rsid w:val="00D66FEA"/>
    <w:rsid w:val="00D808BC"/>
    <w:rsid w:val="00D80DC7"/>
    <w:rsid w:val="00D815D5"/>
    <w:rsid w:val="00D817E7"/>
    <w:rsid w:val="00D90752"/>
    <w:rsid w:val="00D9158B"/>
    <w:rsid w:val="00D9276A"/>
    <w:rsid w:val="00D978CC"/>
    <w:rsid w:val="00D97AC3"/>
    <w:rsid w:val="00DA2A9F"/>
    <w:rsid w:val="00DA3668"/>
    <w:rsid w:val="00DA4FB8"/>
    <w:rsid w:val="00DA529E"/>
    <w:rsid w:val="00DA582A"/>
    <w:rsid w:val="00DA61F2"/>
    <w:rsid w:val="00DA6BF7"/>
    <w:rsid w:val="00DA6E36"/>
    <w:rsid w:val="00DA7FF6"/>
    <w:rsid w:val="00DB0F69"/>
    <w:rsid w:val="00DC0BE5"/>
    <w:rsid w:val="00DC2ECD"/>
    <w:rsid w:val="00DD124D"/>
    <w:rsid w:val="00DD1812"/>
    <w:rsid w:val="00DD1AFE"/>
    <w:rsid w:val="00DD3186"/>
    <w:rsid w:val="00DD6651"/>
    <w:rsid w:val="00DE1A75"/>
    <w:rsid w:val="00DE1F71"/>
    <w:rsid w:val="00DE220B"/>
    <w:rsid w:val="00DE276C"/>
    <w:rsid w:val="00DE7051"/>
    <w:rsid w:val="00DE7F10"/>
    <w:rsid w:val="00DF105E"/>
    <w:rsid w:val="00DF7CA0"/>
    <w:rsid w:val="00DFE327"/>
    <w:rsid w:val="00E0155A"/>
    <w:rsid w:val="00E01FF3"/>
    <w:rsid w:val="00E02334"/>
    <w:rsid w:val="00E02CFB"/>
    <w:rsid w:val="00E03F69"/>
    <w:rsid w:val="00E045D5"/>
    <w:rsid w:val="00E04871"/>
    <w:rsid w:val="00E10EAD"/>
    <w:rsid w:val="00E13B4D"/>
    <w:rsid w:val="00E1533F"/>
    <w:rsid w:val="00E15F64"/>
    <w:rsid w:val="00E178F8"/>
    <w:rsid w:val="00E2235B"/>
    <w:rsid w:val="00E26FEF"/>
    <w:rsid w:val="00E31CC5"/>
    <w:rsid w:val="00E34D5C"/>
    <w:rsid w:val="00E35B8F"/>
    <w:rsid w:val="00E3744D"/>
    <w:rsid w:val="00E41F0E"/>
    <w:rsid w:val="00E41F46"/>
    <w:rsid w:val="00E43A52"/>
    <w:rsid w:val="00E43B52"/>
    <w:rsid w:val="00E440AC"/>
    <w:rsid w:val="00E4437C"/>
    <w:rsid w:val="00E47BCA"/>
    <w:rsid w:val="00E524E4"/>
    <w:rsid w:val="00E55F82"/>
    <w:rsid w:val="00E60F76"/>
    <w:rsid w:val="00E734E7"/>
    <w:rsid w:val="00E7481B"/>
    <w:rsid w:val="00E76C76"/>
    <w:rsid w:val="00E770B1"/>
    <w:rsid w:val="00E803FE"/>
    <w:rsid w:val="00E8341D"/>
    <w:rsid w:val="00E856D4"/>
    <w:rsid w:val="00E8739D"/>
    <w:rsid w:val="00E93B7A"/>
    <w:rsid w:val="00E93D8C"/>
    <w:rsid w:val="00E93E16"/>
    <w:rsid w:val="00EA40C5"/>
    <w:rsid w:val="00EA5299"/>
    <w:rsid w:val="00EB11D9"/>
    <w:rsid w:val="00EB295F"/>
    <w:rsid w:val="00EB5AA6"/>
    <w:rsid w:val="00EC3655"/>
    <w:rsid w:val="00ED0170"/>
    <w:rsid w:val="00ED1B23"/>
    <w:rsid w:val="00ED58C2"/>
    <w:rsid w:val="00ED7137"/>
    <w:rsid w:val="00ED7D64"/>
    <w:rsid w:val="00EE0A7D"/>
    <w:rsid w:val="00EF0EDF"/>
    <w:rsid w:val="00EF2950"/>
    <w:rsid w:val="00EF2BE8"/>
    <w:rsid w:val="00EF60D5"/>
    <w:rsid w:val="00EF62C3"/>
    <w:rsid w:val="00F009C3"/>
    <w:rsid w:val="00F0502A"/>
    <w:rsid w:val="00F053FA"/>
    <w:rsid w:val="00F070F6"/>
    <w:rsid w:val="00F11AD5"/>
    <w:rsid w:val="00F1539A"/>
    <w:rsid w:val="00F16554"/>
    <w:rsid w:val="00F23171"/>
    <w:rsid w:val="00F23724"/>
    <w:rsid w:val="00F32005"/>
    <w:rsid w:val="00F32E09"/>
    <w:rsid w:val="00F3492F"/>
    <w:rsid w:val="00F34BED"/>
    <w:rsid w:val="00F3744E"/>
    <w:rsid w:val="00F37DBC"/>
    <w:rsid w:val="00F418AD"/>
    <w:rsid w:val="00F4486E"/>
    <w:rsid w:val="00F455D0"/>
    <w:rsid w:val="00F51515"/>
    <w:rsid w:val="00F5398C"/>
    <w:rsid w:val="00F53A6B"/>
    <w:rsid w:val="00F62C32"/>
    <w:rsid w:val="00F65CD2"/>
    <w:rsid w:val="00F735FA"/>
    <w:rsid w:val="00F742B6"/>
    <w:rsid w:val="00F768CF"/>
    <w:rsid w:val="00F7757F"/>
    <w:rsid w:val="00F812ED"/>
    <w:rsid w:val="00F8229B"/>
    <w:rsid w:val="00F8302E"/>
    <w:rsid w:val="00F8306D"/>
    <w:rsid w:val="00F847A2"/>
    <w:rsid w:val="00F86B28"/>
    <w:rsid w:val="00F91C49"/>
    <w:rsid w:val="00F92045"/>
    <w:rsid w:val="00F924F6"/>
    <w:rsid w:val="00F932C4"/>
    <w:rsid w:val="00F93D88"/>
    <w:rsid w:val="00F94F52"/>
    <w:rsid w:val="00F9555F"/>
    <w:rsid w:val="00F95BB9"/>
    <w:rsid w:val="00F961BE"/>
    <w:rsid w:val="00F96F59"/>
    <w:rsid w:val="00FA2823"/>
    <w:rsid w:val="00FA286E"/>
    <w:rsid w:val="00FA2ED4"/>
    <w:rsid w:val="00FA4B71"/>
    <w:rsid w:val="00FA5254"/>
    <w:rsid w:val="00FA5433"/>
    <w:rsid w:val="00FA636E"/>
    <w:rsid w:val="00FA6564"/>
    <w:rsid w:val="00FB1D90"/>
    <w:rsid w:val="00FC1596"/>
    <w:rsid w:val="00FC4248"/>
    <w:rsid w:val="00FC45CE"/>
    <w:rsid w:val="00FC7C0F"/>
    <w:rsid w:val="00FD0FBA"/>
    <w:rsid w:val="00FD119C"/>
    <w:rsid w:val="00FD1643"/>
    <w:rsid w:val="00FD3E82"/>
    <w:rsid w:val="00FD4C10"/>
    <w:rsid w:val="00FE2346"/>
    <w:rsid w:val="00FE25CE"/>
    <w:rsid w:val="00FE3EE4"/>
    <w:rsid w:val="00FE4C72"/>
    <w:rsid w:val="00FF3BB4"/>
    <w:rsid w:val="00FF4548"/>
    <w:rsid w:val="01145004"/>
    <w:rsid w:val="011C1A89"/>
    <w:rsid w:val="015494BF"/>
    <w:rsid w:val="01B013FD"/>
    <w:rsid w:val="01B737E7"/>
    <w:rsid w:val="01EAAFD4"/>
    <w:rsid w:val="01FFD10F"/>
    <w:rsid w:val="021D9822"/>
    <w:rsid w:val="02370DCA"/>
    <w:rsid w:val="0255107C"/>
    <w:rsid w:val="027CC472"/>
    <w:rsid w:val="02AA80E9"/>
    <w:rsid w:val="02B390B9"/>
    <w:rsid w:val="02B952FC"/>
    <w:rsid w:val="02D60C03"/>
    <w:rsid w:val="031328A6"/>
    <w:rsid w:val="0318DEDB"/>
    <w:rsid w:val="03370FCF"/>
    <w:rsid w:val="034F37E1"/>
    <w:rsid w:val="038E0961"/>
    <w:rsid w:val="03B05909"/>
    <w:rsid w:val="03D78005"/>
    <w:rsid w:val="03E8D270"/>
    <w:rsid w:val="0409C172"/>
    <w:rsid w:val="043A1297"/>
    <w:rsid w:val="0452B15F"/>
    <w:rsid w:val="04C01476"/>
    <w:rsid w:val="04CF36A7"/>
    <w:rsid w:val="04CFF0BC"/>
    <w:rsid w:val="04E42880"/>
    <w:rsid w:val="04F2C1CC"/>
    <w:rsid w:val="050245CF"/>
    <w:rsid w:val="054A754C"/>
    <w:rsid w:val="0585D847"/>
    <w:rsid w:val="05990FC6"/>
    <w:rsid w:val="05C487EF"/>
    <w:rsid w:val="05D5B2B8"/>
    <w:rsid w:val="05DCD3C3"/>
    <w:rsid w:val="05F064B1"/>
    <w:rsid w:val="061505F8"/>
    <w:rsid w:val="06428B67"/>
    <w:rsid w:val="064E4C0B"/>
    <w:rsid w:val="064E7A2D"/>
    <w:rsid w:val="064ECFB4"/>
    <w:rsid w:val="0680F471"/>
    <w:rsid w:val="0692C1C5"/>
    <w:rsid w:val="069EF64B"/>
    <w:rsid w:val="06CED478"/>
    <w:rsid w:val="06D709C1"/>
    <w:rsid w:val="06FF8EDA"/>
    <w:rsid w:val="070A7E8A"/>
    <w:rsid w:val="07101995"/>
    <w:rsid w:val="0718D205"/>
    <w:rsid w:val="075D6B51"/>
    <w:rsid w:val="0790E919"/>
    <w:rsid w:val="07BAAFC2"/>
    <w:rsid w:val="07C306EA"/>
    <w:rsid w:val="0849A18A"/>
    <w:rsid w:val="0854399F"/>
    <w:rsid w:val="08651198"/>
    <w:rsid w:val="0888BB57"/>
    <w:rsid w:val="08AEEE48"/>
    <w:rsid w:val="08C214EE"/>
    <w:rsid w:val="08C3EC02"/>
    <w:rsid w:val="08DFFD70"/>
    <w:rsid w:val="08EA1C9B"/>
    <w:rsid w:val="08F582F5"/>
    <w:rsid w:val="08FA6474"/>
    <w:rsid w:val="090FCF6E"/>
    <w:rsid w:val="091377F0"/>
    <w:rsid w:val="09331877"/>
    <w:rsid w:val="0934C08A"/>
    <w:rsid w:val="094EEE89"/>
    <w:rsid w:val="095E2D79"/>
    <w:rsid w:val="0975D162"/>
    <w:rsid w:val="097C3D2B"/>
    <w:rsid w:val="098AF9D5"/>
    <w:rsid w:val="09CFF797"/>
    <w:rsid w:val="0A21D9E7"/>
    <w:rsid w:val="0A2E22D4"/>
    <w:rsid w:val="0A8CE3EB"/>
    <w:rsid w:val="0A9C12D7"/>
    <w:rsid w:val="0AA4484B"/>
    <w:rsid w:val="0AB3CF26"/>
    <w:rsid w:val="0AB4C22B"/>
    <w:rsid w:val="0AF74FE5"/>
    <w:rsid w:val="0B0FBE11"/>
    <w:rsid w:val="0B1F522E"/>
    <w:rsid w:val="0B27D592"/>
    <w:rsid w:val="0B37C58C"/>
    <w:rsid w:val="0B655B1E"/>
    <w:rsid w:val="0B7537EB"/>
    <w:rsid w:val="0B9239DB"/>
    <w:rsid w:val="0C2C6ABC"/>
    <w:rsid w:val="0C96AC7A"/>
    <w:rsid w:val="0CB2C492"/>
    <w:rsid w:val="0CE7EF46"/>
    <w:rsid w:val="0CE87311"/>
    <w:rsid w:val="0D1FF98E"/>
    <w:rsid w:val="0D2BC2B4"/>
    <w:rsid w:val="0D4AE7F8"/>
    <w:rsid w:val="0D58AAC2"/>
    <w:rsid w:val="0D65557E"/>
    <w:rsid w:val="0D6A99C6"/>
    <w:rsid w:val="0D6F6D99"/>
    <w:rsid w:val="0D902C56"/>
    <w:rsid w:val="0DC3EF2F"/>
    <w:rsid w:val="0DE19E24"/>
    <w:rsid w:val="0DEBF752"/>
    <w:rsid w:val="0E1844E7"/>
    <w:rsid w:val="0E2769DB"/>
    <w:rsid w:val="0E464F1A"/>
    <w:rsid w:val="0E4B869B"/>
    <w:rsid w:val="0E56B04D"/>
    <w:rsid w:val="0E7F48E5"/>
    <w:rsid w:val="0EB90774"/>
    <w:rsid w:val="0F035427"/>
    <w:rsid w:val="0F30C40C"/>
    <w:rsid w:val="0F432F28"/>
    <w:rsid w:val="0F44467E"/>
    <w:rsid w:val="0F5941E5"/>
    <w:rsid w:val="0F5ADC79"/>
    <w:rsid w:val="0F6C8C75"/>
    <w:rsid w:val="0F7B7A95"/>
    <w:rsid w:val="0F8DD5E2"/>
    <w:rsid w:val="0F93ED17"/>
    <w:rsid w:val="0F99EF04"/>
    <w:rsid w:val="0FB3B976"/>
    <w:rsid w:val="10073D2B"/>
    <w:rsid w:val="101C35CD"/>
    <w:rsid w:val="10332264"/>
    <w:rsid w:val="106F4B90"/>
    <w:rsid w:val="10AC3EDD"/>
    <w:rsid w:val="10AC87E3"/>
    <w:rsid w:val="10D12838"/>
    <w:rsid w:val="10E5DCA3"/>
    <w:rsid w:val="110CB3AE"/>
    <w:rsid w:val="113FE6AF"/>
    <w:rsid w:val="1158FA02"/>
    <w:rsid w:val="115E82EF"/>
    <w:rsid w:val="11763227"/>
    <w:rsid w:val="117806EB"/>
    <w:rsid w:val="11885FC7"/>
    <w:rsid w:val="118A0CF4"/>
    <w:rsid w:val="11A231B7"/>
    <w:rsid w:val="1218EDC2"/>
    <w:rsid w:val="1221ED6A"/>
    <w:rsid w:val="122FE6CB"/>
    <w:rsid w:val="12418FC3"/>
    <w:rsid w:val="12623E67"/>
    <w:rsid w:val="12644C29"/>
    <w:rsid w:val="127A5B2C"/>
    <w:rsid w:val="12AD1AD0"/>
    <w:rsid w:val="12F837DC"/>
    <w:rsid w:val="1301E3D9"/>
    <w:rsid w:val="130B59C3"/>
    <w:rsid w:val="1314FACE"/>
    <w:rsid w:val="132965CE"/>
    <w:rsid w:val="13729725"/>
    <w:rsid w:val="13962165"/>
    <w:rsid w:val="139CEAD3"/>
    <w:rsid w:val="139D5E10"/>
    <w:rsid w:val="13D34E76"/>
    <w:rsid w:val="13E613AB"/>
    <w:rsid w:val="13E85897"/>
    <w:rsid w:val="13F1F490"/>
    <w:rsid w:val="13FBEF01"/>
    <w:rsid w:val="140B2D97"/>
    <w:rsid w:val="14290C32"/>
    <w:rsid w:val="1433DB1F"/>
    <w:rsid w:val="1440374E"/>
    <w:rsid w:val="144B52D2"/>
    <w:rsid w:val="147A49BC"/>
    <w:rsid w:val="1496B08F"/>
    <w:rsid w:val="14D85465"/>
    <w:rsid w:val="14FCA81D"/>
    <w:rsid w:val="1537CB8A"/>
    <w:rsid w:val="1540AB3A"/>
    <w:rsid w:val="15464845"/>
    <w:rsid w:val="154A698C"/>
    <w:rsid w:val="155B45FA"/>
    <w:rsid w:val="15679B86"/>
    <w:rsid w:val="156A2921"/>
    <w:rsid w:val="15703095"/>
    <w:rsid w:val="15ABBA1C"/>
    <w:rsid w:val="15DEF341"/>
    <w:rsid w:val="15F9DDE7"/>
    <w:rsid w:val="15FAB3C3"/>
    <w:rsid w:val="16183421"/>
    <w:rsid w:val="168C2F68"/>
    <w:rsid w:val="16D74C5C"/>
    <w:rsid w:val="16E47E79"/>
    <w:rsid w:val="16FCDE5E"/>
    <w:rsid w:val="173341DA"/>
    <w:rsid w:val="17506B60"/>
    <w:rsid w:val="175EF96A"/>
    <w:rsid w:val="17655BDA"/>
    <w:rsid w:val="17963B3D"/>
    <w:rsid w:val="18070E97"/>
    <w:rsid w:val="181D8069"/>
    <w:rsid w:val="1850821F"/>
    <w:rsid w:val="188DC53B"/>
    <w:rsid w:val="18A773A3"/>
    <w:rsid w:val="18B29DCD"/>
    <w:rsid w:val="18BE818E"/>
    <w:rsid w:val="18E6AC76"/>
    <w:rsid w:val="18EB103B"/>
    <w:rsid w:val="1916E9D9"/>
    <w:rsid w:val="194739CA"/>
    <w:rsid w:val="195483AF"/>
    <w:rsid w:val="19891CD3"/>
    <w:rsid w:val="19903340"/>
    <w:rsid w:val="19B11282"/>
    <w:rsid w:val="19BC294F"/>
    <w:rsid w:val="19E5DAFE"/>
    <w:rsid w:val="19FEFDDD"/>
    <w:rsid w:val="1A1A21ED"/>
    <w:rsid w:val="1A230062"/>
    <w:rsid w:val="1A42F404"/>
    <w:rsid w:val="1A754363"/>
    <w:rsid w:val="1A7B2E1F"/>
    <w:rsid w:val="1A82255A"/>
    <w:rsid w:val="1A90E3AD"/>
    <w:rsid w:val="1AA728C1"/>
    <w:rsid w:val="1AB4CE11"/>
    <w:rsid w:val="1AC6DB6E"/>
    <w:rsid w:val="1B01C814"/>
    <w:rsid w:val="1B0BAE65"/>
    <w:rsid w:val="1B26CBDD"/>
    <w:rsid w:val="1B5C1097"/>
    <w:rsid w:val="1B5C12AE"/>
    <w:rsid w:val="1B5E5CA9"/>
    <w:rsid w:val="1B5E7350"/>
    <w:rsid w:val="1BBE460A"/>
    <w:rsid w:val="1BFDB0EF"/>
    <w:rsid w:val="1C24BD88"/>
    <w:rsid w:val="1C4A68B8"/>
    <w:rsid w:val="1C4F34DB"/>
    <w:rsid w:val="1C5FF919"/>
    <w:rsid w:val="1C71EC17"/>
    <w:rsid w:val="1C9966A4"/>
    <w:rsid w:val="1D341DF1"/>
    <w:rsid w:val="1D3A4D60"/>
    <w:rsid w:val="1D60B306"/>
    <w:rsid w:val="1D69B85A"/>
    <w:rsid w:val="1DBC6F9F"/>
    <w:rsid w:val="1DC73C02"/>
    <w:rsid w:val="1DDF2C8C"/>
    <w:rsid w:val="1DE9DDED"/>
    <w:rsid w:val="1E19B4D1"/>
    <w:rsid w:val="1E1F12CE"/>
    <w:rsid w:val="1E29322B"/>
    <w:rsid w:val="1E34FA66"/>
    <w:rsid w:val="1E4CD382"/>
    <w:rsid w:val="1E4DD2FD"/>
    <w:rsid w:val="1E59F90A"/>
    <w:rsid w:val="1E60BDBB"/>
    <w:rsid w:val="1E6DFE68"/>
    <w:rsid w:val="1E8D1623"/>
    <w:rsid w:val="1E9EFECF"/>
    <w:rsid w:val="1E9F97A6"/>
    <w:rsid w:val="1EE683AB"/>
    <w:rsid w:val="1EF312E2"/>
    <w:rsid w:val="1F4D4F60"/>
    <w:rsid w:val="1F63E6AD"/>
    <w:rsid w:val="1F7D272E"/>
    <w:rsid w:val="1F82BF28"/>
    <w:rsid w:val="1F8A613A"/>
    <w:rsid w:val="1F8CDB5F"/>
    <w:rsid w:val="1F9843FD"/>
    <w:rsid w:val="1FA81838"/>
    <w:rsid w:val="200ECAC8"/>
    <w:rsid w:val="205DC761"/>
    <w:rsid w:val="2075EB67"/>
    <w:rsid w:val="209BF2F0"/>
    <w:rsid w:val="20C3D544"/>
    <w:rsid w:val="20D0B9C3"/>
    <w:rsid w:val="20FED5AF"/>
    <w:rsid w:val="212D8787"/>
    <w:rsid w:val="2134CD96"/>
    <w:rsid w:val="213F54E3"/>
    <w:rsid w:val="215145DC"/>
    <w:rsid w:val="21534EE4"/>
    <w:rsid w:val="215D320D"/>
    <w:rsid w:val="2164D9DF"/>
    <w:rsid w:val="21A963FD"/>
    <w:rsid w:val="21BA10E1"/>
    <w:rsid w:val="21EC3246"/>
    <w:rsid w:val="21EDAE07"/>
    <w:rsid w:val="21F7CF66"/>
    <w:rsid w:val="2200FECD"/>
    <w:rsid w:val="221A682A"/>
    <w:rsid w:val="22233491"/>
    <w:rsid w:val="22953DBE"/>
    <w:rsid w:val="230635D4"/>
    <w:rsid w:val="230E5CB7"/>
    <w:rsid w:val="2398F1DD"/>
    <w:rsid w:val="2405D92E"/>
    <w:rsid w:val="242F1E49"/>
    <w:rsid w:val="2430A9CE"/>
    <w:rsid w:val="2475AAE2"/>
    <w:rsid w:val="247EB8A7"/>
    <w:rsid w:val="248AA5F9"/>
    <w:rsid w:val="248E809E"/>
    <w:rsid w:val="24A36094"/>
    <w:rsid w:val="24A9E3C4"/>
    <w:rsid w:val="24ADAD7A"/>
    <w:rsid w:val="24D8D663"/>
    <w:rsid w:val="24F374D0"/>
    <w:rsid w:val="251228CE"/>
    <w:rsid w:val="2515B501"/>
    <w:rsid w:val="254CE561"/>
    <w:rsid w:val="256934B2"/>
    <w:rsid w:val="2576C539"/>
    <w:rsid w:val="25EC5976"/>
    <w:rsid w:val="25F7D316"/>
    <w:rsid w:val="26052C14"/>
    <w:rsid w:val="2634D512"/>
    <w:rsid w:val="26427612"/>
    <w:rsid w:val="2683A050"/>
    <w:rsid w:val="26BF4DB2"/>
    <w:rsid w:val="26C96FCF"/>
    <w:rsid w:val="26D8F927"/>
    <w:rsid w:val="26E4B0DD"/>
    <w:rsid w:val="272D2F1F"/>
    <w:rsid w:val="272E8BB3"/>
    <w:rsid w:val="278CC9FF"/>
    <w:rsid w:val="2798E5DE"/>
    <w:rsid w:val="27AA5D42"/>
    <w:rsid w:val="27CCB08B"/>
    <w:rsid w:val="280725F4"/>
    <w:rsid w:val="2813AB0D"/>
    <w:rsid w:val="28225415"/>
    <w:rsid w:val="28431776"/>
    <w:rsid w:val="285FE31F"/>
    <w:rsid w:val="2877E945"/>
    <w:rsid w:val="287AA750"/>
    <w:rsid w:val="28803C26"/>
    <w:rsid w:val="2899D224"/>
    <w:rsid w:val="289EA5ED"/>
    <w:rsid w:val="28B12941"/>
    <w:rsid w:val="28BB5FFF"/>
    <w:rsid w:val="28C1FB7C"/>
    <w:rsid w:val="28D9EF0F"/>
    <w:rsid w:val="29060C7E"/>
    <w:rsid w:val="290E52E1"/>
    <w:rsid w:val="294353BC"/>
    <w:rsid w:val="29458F0B"/>
    <w:rsid w:val="294870C5"/>
    <w:rsid w:val="2985D293"/>
    <w:rsid w:val="298DFEF7"/>
    <w:rsid w:val="2A021C4F"/>
    <w:rsid w:val="2A2C5E96"/>
    <w:rsid w:val="2A49177D"/>
    <w:rsid w:val="2A4ACFFA"/>
    <w:rsid w:val="2A99B76F"/>
    <w:rsid w:val="2A9AF527"/>
    <w:rsid w:val="2AA3575F"/>
    <w:rsid w:val="2AA8B8AD"/>
    <w:rsid w:val="2AAC56D4"/>
    <w:rsid w:val="2B13E5C1"/>
    <w:rsid w:val="2B37B5D9"/>
    <w:rsid w:val="2B5FC2F5"/>
    <w:rsid w:val="2B7757C6"/>
    <w:rsid w:val="2BA61C10"/>
    <w:rsid w:val="2BB1B052"/>
    <w:rsid w:val="2BE56B74"/>
    <w:rsid w:val="2BE58940"/>
    <w:rsid w:val="2BE690E4"/>
    <w:rsid w:val="2C481D98"/>
    <w:rsid w:val="2C5F946A"/>
    <w:rsid w:val="2C6AAE07"/>
    <w:rsid w:val="2C970CAF"/>
    <w:rsid w:val="2CBBA0B5"/>
    <w:rsid w:val="2CC5B64F"/>
    <w:rsid w:val="2CF7E991"/>
    <w:rsid w:val="2D17B685"/>
    <w:rsid w:val="2D4DE57B"/>
    <w:rsid w:val="2D5E418C"/>
    <w:rsid w:val="2D5E9479"/>
    <w:rsid w:val="2D61F5DC"/>
    <w:rsid w:val="2D6D5440"/>
    <w:rsid w:val="2D835C59"/>
    <w:rsid w:val="2D89DD20"/>
    <w:rsid w:val="2DAD4AA2"/>
    <w:rsid w:val="2DB62FCA"/>
    <w:rsid w:val="2DDBB58B"/>
    <w:rsid w:val="2E0C4966"/>
    <w:rsid w:val="2E1C5192"/>
    <w:rsid w:val="2E34655E"/>
    <w:rsid w:val="2E3C8A33"/>
    <w:rsid w:val="2E433EA1"/>
    <w:rsid w:val="2E547DF4"/>
    <w:rsid w:val="2E9FFC38"/>
    <w:rsid w:val="2EAEA03A"/>
    <w:rsid w:val="2ED76D67"/>
    <w:rsid w:val="2ED8BCAA"/>
    <w:rsid w:val="2EFA48D2"/>
    <w:rsid w:val="2F2F979E"/>
    <w:rsid w:val="2F6BD60B"/>
    <w:rsid w:val="2F9E14C5"/>
    <w:rsid w:val="2FCBA7E5"/>
    <w:rsid w:val="2FD72518"/>
    <w:rsid w:val="3013F66B"/>
    <w:rsid w:val="30477268"/>
    <w:rsid w:val="304BF211"/>
    <w:rsid w:val="304DD0F9"/>
    <w:rsid w:val="305305BA"/>
    <w:rsid w:val="30547DD1"/>
    <w:rsid w:val="30654F35"/>
    <w:rsid w:val="307E7E4F"/>
    <w:rsid w:val="308196BE"/>
    <w:rsid w:val="308ACEC9"/>
    <w:rsid w:val="30A40939"/>
    <w:rsid w:val="30F35B9E"/>
    <w:rsid w:val="31767BE4"/>
    <w:rsid w:val="31A0FCC0"/>
    <w:rsid w:val="31C3B856"/>
    <w:rsid w:val="320D76C4"/>
    <w:rsid w:val="321190F3"/>
    <w:rsid w:val="3214A80A"/>
    <w:rsid w:val="321CB1E3"/>
    <w:rsid w:val="322A2920"/>
    <w:rsid w:val="32580390"/>
    <w:rsid w:val="3267ECCA"/>
    <w:rsid w:val="32880EC0"/>
    <w:rsid w:val="32887E9C"/>
    <w:rsid w:val="32936CA9"/>
    <w:rsid w:val="32B3535D"/>
    <w:rsid w:val="32C1570A"/>
    <w:rsid w:val="32E77F6F"/>
    <w:rsid w:val="32EA4524"/>
    <w:rsid w:val="3305A9D2"/>
    <w:rsid w:val="33072C03"/>
    <w:rsid w:val="330D7777"/>
    <w:rsid w:val="33192153"/>
    <w:rsid w:val="3321C36C"/>
    <w:rsid w:val="33348EDF"/>
    <w:rsid w:val="334ED41B"/>
    <w:rsid w:val="339B1FAA"/>
    <w:rsid w:val="33A99B43"/>
    <w:rsid w:val="33B8E795"/>
    <w:rsid w:val="33BEE2CC"/>
    <w:rsid w:val="33BF8AEC"/>
    <w:rsid w:val="33D5A3DC"/>
    <w:rsid w:val="33EB7044"/>
    <w:rsid w:val="33F0391F"/>
    <w:rsid w:val="3406D2E0"/>
    <w:rsid w:val="34722482"/>
    <w:rsid w:val="34886921"/>
    <w:rsid w:val="349A6A6F"/>
    <w:rsid w:val="349FA865"/>
    <w:rsid w:val="34AC7166"/>
    <w:rsid w:val="34ACA4E0"/>
    <w:rsid w:val="34EB4C6A"/>
    <w:rsid w:val="35264361"/>
    <w:rsid w:val="357D60A5"/>
    <w:rsid w:val="3583DEFA"/>
    <w:rsid w:val="359F537C"/>
    <w:rsid w:val="35AF77A9"/>
    <w:rsid w:val="35D3F8C2"/>
    <w:rsid w:val="363A846D"/>
    <w:rsid w:val="36674AD1"/>
    <w:rsid w:val="36A3C137"/>
    <w:rsid w:val="36CAC6C0"/>
    <w:rsid w:val="36E05222"/>
    <w:rsid w:val="36E85865"/>
    <w:rsid w:val="36F7ECEA"/>
    <w:rsid w:val="37117121"/>
    <w:rsid w:val="3721267C"/>
    <w:rsid w:val="373BA6FD"/>
    <w:rsid w:val="37B1F2D7"/>
    <w:rsid w:val="37BFD0E5"/>
    <w:rsid w:val="37C1F0C2"/>
    <w:rsid w:val="37E3DE0C"/>
    <w:rsid w:val="37F9561C"/>
    <w:rsid w:val="3838C4D8"/>
    <w:rsid w:val="387F3BAB"/>
    <w:rsid w:val="3881AFC1"/>
    <w:rsid w:val="38CB1C54"/>
    <w:rsid w:val="38CC24E6"/>
    <w:rsid w:val="3959DCAF"/>
    <w:rsid w:val="3970205C"/>
    <w:rsid w:val="39935AC9"/>
    <w:rsid w:val="39A933C3"/>
    <w:rsid w:val="39CA0E73"/>
    <w:rsid w:val="39CA18C3"/>
    <w:rsid w:val="3A3EACFE"/>
    <w:rsid w:val="3A406D4F"/>
    <w:rsid w:val="3AC58FB5"/>
    <w:rsid w:val="3AD2F79C"/>
    <w:rsid w:val="3AD6A008"/>
    <w:rsid w:val="3AE1CB8C"/>
    <w:rsid w:val="3B3A0C46"/>
    <w:rsid w:val="3B551EF6"/>
    <w:rsid w:val="3B57C2F0"/>
    <w:rsid w:val="3B74A092"/>
    <w:rsid w:val="3B80EB94"/>
    <w:rsid w:val="3B928075"/>
    <w:rsid w:val="3BB7E20A"/>
    <w:rsid w:val="3BC370DC"/>
    <w:rsid w:val="3BD03A4D"/>
    <w:rsid w:val="3BE2BAE7"/>
    <w:rsid w:val="3BF12EFC"/>
    <w:rsid w:val="3C0844DB"/>
    <w:rsid w:val="3C0929A4"/>
    <w:rsid w:val="3C74F751"/>
    <w:rsid w:val="3CAFE39D"/>
    <w:rsid w:val="3CD4385D"/>
    <w:rsid w:val="3D08E0E9"/>
    <w:rsid w:val="3D691F3E"/>
    <w:rsid w:val="3D7FD07D"/>
    <w:rsid w:val="3DA7F025"/>
    <w:rsid w:val="3DF3D250"/>
    <w:rsid w:val="3E16CFB6"/>
    <w:rsid w:val="3E287D50"/>
    <w:rsid w:val="3E3D8B3D"/>
    <w:rsid w:val="3E69FF85"/>
    <w:rsid w:val="3EA6C6BF"/>
    <w:rsid w:val="3EAAC517"/>
    <w:rsid w:val="3EC7F601"/>
    <w:rsid w:val="3EF0FAB5"/>
    <w:rsid w:val="3F08E9AF"/>
    <w:rsid w:val="3F17B91F"/>
    <w:rsid w:val="3F322518"/>
    <w:rsid w:val="3F763153"/>
    <w:rsid w:val="3F7CACEC"/>
    <w:rsid w:val="3F7CBA74"/>
    <w:rsid w:val="3F825A66"/>
    <w:rsid w:val="3FAEA37D"/>
    <w:rsid w:val="3FCBA956"/>
    <w:rsid w:val="3FD43F19"/>
    <w:rsid w:val="3FE27021"/>
    <w:rsid w:val="3FEC385F"/>
    <w:rsid w:val="400048F1"/>
    <w:rsid w:val="40167470"/>
    <w:rsid w:val="402265CC"/>
    <w:rsid w:val="4050A853"/>
    <w:rsid w:val="407CAA20"/>
    <w:rsid w:val="407EE062"/>
    <w:rsid w:val="4093BC13"/>
    <w:rsid w:val="40E574D3"/>
    <w:rsid w:val="40EBE51F"/>
    <w:rsid w:val="410EB712"/>
    <w:rsid w:val="41101125"/>
    <w:rsid w:val="411AB615"/>
    <w:rsid w:val="411F8B06"/>
    <w:rsid w:val="412840FF"/>
    <w:rsid w:val="417C93FB"/>
    <w:rsid w:val="41A5E8DB"/>
    <w:rsid w:val="41D9402A"/>
    <w:rsid w:val="4200B2A3"/>
    <w:rsid w:val="42139AA0"/>
    <w:rsid w:val="423B0578"/>
    <w:rsid w:val="42532287"/>
    <w:rsid w:val="42A724F0"/>
    <w:rsid w:val="42E4E16C"/>
    <w:rsid w:val="431A75CC"/>
    <w:rsid w:val="4324A576"/>
    <w:rsid w:val="433E59DA"/>
    <w:rsid w:val="43958613"/>
    <w:rsid w:val="43B43EB2"/>
    <w:rsid w:val="440384E0"/>
    <w:rsid w:val="440B4639"/>
    <w:rsid w:val="44135878"/>
    <w:rsid w:val="441671DD"/>
    <w:rsid w:val="449954F1"/>
    <w:rsid w:val="44E31563"/>
    <w:rsid w:val="452C0124"/>
    <w:rsid w:val="4535BE8C"/>
    <w:rsid w:val="4577A1D6"/>
    <w:rsid w:val="45CBF563"/>
    <w:rsid w:val="45D1FA03"/>
    <w:rsid w:val="45F4615F"/>
    <w:rsid w:val="460F9607"/>
    <w:rsid w:val="4631A9B9"/>
    <w:rsid w:val="469B958F"/>
    <w:rsid w:val="46EA7889"/>
    <w:rsid w:val="47277CE3"/>
    <w:rsid w:val="475747E1"/>
    <w:rsid w:val="47663019"/>
    <w:rsid w:val="478C555D"/>
    <w:rsid w:val="4794B900"/>
    <w:rsid w:val="47A5844D"/>
    <w:rsid w:val="47C3C166"/>
    <w:rsid w:val="47E3540C"/>
    <w:rsid w:val="4835C23D"/>
    <w:rsid w:val="487958CD"/>
    <w:rsid w:val="48BC8147"/>
    <w:rsid w:val="48D91BDF"/>
    <w:rsid w:val="48ECAA1C"/>
    <w:rsid w:val="48FC50EF"/>
    <w:rsid w:val="48FEEF46"/>
    <w:rsid w:val="4923662C"/>
    <w:rsid w:val="493E6DEF"/>
    <w:rsid w:val="4947D7D9"/>
    <w:rsid w:val="495CA432"/>
    <w:rsid w:val="49616729"/>
    <w:rsid w:val="496C513A"/>
    <w:rsid w:val="49B52635"/>
    <w:rsid w:val="49DB0670"/>
    <w:rsid w:val="49E7C53D"/>
    <w:rsid w:val="4A4E067B"/>
    <w:rsid w:val="4AB47B51"/>
    <w:rsid w:val="4AD020E3"/>
    <w:rsid w:val="4ADC0075"/>
    <w:rsid w:val="4B114699"/>
    <w:rsid w:val="4B5FE2E3"/>
    <w:rsid w:val="4B93A117"/>
    <w:rsid w:val="4B986B2C"/>
    <w:rsid w:val="4BAAD806"/>
    <w:rsid w:val="4BD2CBEC"/>
    <w:rsid w:val="4C0AE60B"/>
    <w:rsid w:val="4C38CF3E"/>
    <w:rsid w:val="4CACA4D9"/>
    <w:rsid w:val="4CB1CBC1"/>
    <w:rsid w:val="4CC97CEF"/>
    <w:rsid w:val="4CD1CF23"/>
    <w:rsid w:val="4CD99166"/>
    <w:rsid w:val="4D08F450"/>
    <w:rsid w:val="4D4A4551"/>
    <w:rsid w:val="4D4C7690"/>
    <w:rsid w:val="4D8D3473"/>
    <w:rsid w:val="4DE85CB4"/>
    <w:rsid w:val="4E0B8F3D"/>
    <w:rsid w:val="4E14A761"/>
    <w:rsid w:val="4E1D22DA"/>
    <w:rsid w:val="4E28E8A3"/>
    <w:rsid w:val="4E2F0CDB"/>
    <w:rsid w:val="4E33F006"/>
    <w:rsid w:val="4E36A4C6"/>
    <w:rsid w:val="4E38520B"/>
    <w:rsid w:val="4E38A903"/>
    <w:rsid w:val="4E5D0214"/>
    <w:rsid w:val="4E9CB6BD"/>
    <w:rsid w:val="4EA46180"/>
    <w:rsid w:val="4EA69BDA"/>
    <w:rsid w:val="4EC66CF0"/>
    <w:rsid w:val="4EE1C4CF"/>
    <w:rsid w:val="4F05052C"/>
    <w:rsid w:val="4F2F6C2C"/>
    <w:rsid w:val="4F446124"/>
    <w:rsid w:val="4F74797C"/>
    <w:rsid w:val="4FF39E46"/>
    <w:rsid w:val="5003BF11"/>
    <w:rsid w:val="5019CF5E"/>
    <w:rsid w:val="50622881"/>
    <w:rsid w:val="50A7762E"/>
    <w:rsid w:val="50FBD284"/>
    <w:rsid w:val="51432A7E"/>
    <w:rsid w:val="518C20C0"/>
    <w:rsid w:val="51A74320"/>
    <w:rsid w:val="51AE4914"/>
    <w:rsid w:val="51F1174F"/>
    <w:rsid w:val="5210ABB6"/>
    <w:rsid w:val="5233D1D8"/>
    <w:rsid w:val="52414586"/>
    <w:rsid w:val="5276C63D"/>
    <w:rsid w:val="528EBEE2"/>
    <w:rsid w:val="5293BA99"/>
    <w:rsid w:val="529D6158"/>
    <w:rsid w:val="52F487B5"/>
    <w:rsid w:val="5314D32A"/>
    <w:rsid w:val="534095F0"/>
    <w:rsid w:val="53ABCE9C"/>
    <w:rsid w:val="53C1EF06"/>
    <w:rsid w:val="53C292F0"/>
    <w:rsid w:val="53C7F51C"/>
    <w:rsid w:val="53DEF563"/>
    <w:rsid w:val="53E52B87"/>
    <w:rsid w:val="53F742CE"/>
    <w:rsid w:val="54178423"/>
    <w:rsid w:val="545309D1"/>
    <w:rsid w:val="545D311B"/>
    <w:rsid w:val="547036F6"/>
    <w:rsid w:val="54911000"/>
    <w:rsid w:val="54A69DEE"/>
    <w:rsid w:val="54AAE694"/>
    <w:rsid w:val="54B49FCB"/>
    <w:rsid w:val="54CA1D79"/>
    <w:rsid w:val="54D8CD25"/>
    <w:rsid w:val="54E1ABC4"/>
    <w:rsid w:val="5530E297"/>
    <w:rsid w:val="554B0ABC"/>
    <w:rsid w:val="55D38E28"/>
    <w:rsid w:val="55FD1B8D"/>
    <w:rsid w:val="561956FA"/>
    <w:rsid w:val="562C2F64"/>
    <w:rsid w:val="564977B6"/>
    <w:rsid w:val="56715AC3"/>
    <w:rsid w:val="5685D50B"/>
    <w:rsid w:val="568DCF12"/>
    <w:rsid w:val="56BAE246"/>
    <w:rsid w:val="5710B11F"/>
    <w:rsid w:val="57263480"/>
    <w:rsid w:val="57582EF8"/>
    <w:rsid w:val="57729E9C"/>
    <w:rsid w:val="57AA72DC"/>
    <w:rsid w:val="57B53345"/>
    <w:rsid w:val="57D98C28"/>
    <w:rsid w:val="57E42367"/>
    <w:rsid w:val="57E63D81"/>
    <w:rsid w:val="57F48A98"/>
    <w:rsid w:val="57F4BAC6"/>
    <w:rsid w:val="57FB62C5"/>
    <w:rsid w:val="58106D22"/>
    <w:rsid w:val="581F39A1"/>
    <w:rsid w:val="583592BF"/>
    <w:rsid w:val="5845CD66"/>
    <w:rsid w:val="5857D71D"/>
    <w:rsid w:val="586A99FD"/>
    <w:rsid w:val="58B3C019"/>
    <w:rsid w:val="58C954D9"/>
    <w:rsid w:val="58E861E3"/>
    <w:rsid w:val="58EC49F0"/>
    <w:rsid w:val="58F26756"/>
    <w:rsid w:val="58FE9840"/>
    <w:rsid w:val="593B087B"/>
    <w:rsid w:val="59647F33"/>
    <w:rsid w:val="5991C1EB"/>
    <w:rsid w:val="59D2785B"/>
    <w:rsid w:val="59F80A8E"/>
    <w:rsid w:val="59FA7ED7"/>
    <w:rsid w:val="5A15FB5B"/>
    <w:rsid w:val="5A23FBC8"/>
    <w:rsid w:val="5A389A96"/>
    <w:rsid w:val="5A3ADF59"/>
    <w:rsid w:val="5A5508A9"/>
    <w:rsid w:val="5A5FAFA6"/>
    <w:rsid w:val="5A7AAD4D"/>
    <w:rsid w:val="5A7AD1C5"/>
    <w:rsid w:val="5AE751C5"/>
    <w:rsid w:val="5B3ED899"/>
    <w:rsid w:val="5B7D5EA7"/>
    <w:rsid w:val="5B80E4FA"/>
    <w:rsid w:val="5B984188"/>
    <w:rsid w:val="5BAAD68F"/>
    <w:rsid w:val="5BB8F60C"/>
    <w:rsid w:val="5BD4EE3E"/>
    <w:rsid w:val="5BDFE728"/>
    <w:rsid w:val="5BE7F3A6"/>
    <w:rsid w:val="5C702A19"/>
    <w:rsid w:val="5C86F1E3"/>
    <w:rsid w:val="5CAEB6D2"/>
    <w:rsid w:val="5CC07FF3"/>
    <w:rsid w:val="5CC79B06"/>
    <w:rsid w:val="5CC9F6D2"/>
    <w:rsid w:val="5D41F116"/>
    <w:rsid w:val="5D5CA8F5"/>
    <w:rsid w:val="5D939A93"/>
    <w:rsid w:val="5DAA8117"/>
    <w:rsid w:val="5DC70907"/>
    <w:rsid w:val="5DD99C7A"/>
    <w:rsid w:val="5DDB9FB9"/>
    <w:rsid w:val="5DEC3966"/>
    <w:rsid w:val="5E03E055"/>
    <w:rsid w:val="5E06A3DA"/>
    <w:rsid w:val="5E7C7EA1"/>
    <w:rsid w:val="5EB07C88"/>
    <w:rsid w:val="5EE747D8"/>
    <w:rsid w:val="5F1A95DC"/>
    <w:rsid w:val="5F1E3463"/>
    <w:rsid w:val="5F2B011A"/>
    <w:rsid w:val="5F401673"/>
    <w:rsid w:val="5F66F026"/>
    <w:rsid w:val="5F6AEC28"/>
    <w:rsid w:val="5FA4FEC1"/>
    <w:rsid w:val="5FAF01AA"/>
    <w:rsid w:val="5FC675C1"/>
    <w:rsid w:val="5FDBC004"/>
    <w:rsid w:val="5FF1ADB7"/>
    <w:rsid w:val="5FF92807"/>
    <w:rsid w:val="5FFC3342"/>
    <w:rsid w:val="604750A9"/>
    <w:rsid w:val="608C8B8C"/>
    <w:rsid w:val="608CCA27"/>
    <w:rsid w:val="60AF3AB6"/>
    <w:rsid w:val="60BC087C"/>
    <w:rsid w:val="60BC1F51"/>
    <w:rsid w:val="60F0FC00"/>
    <w:rsid w:val="614B58B7"/>
    <w:rsid w:val="615A5BF5"/>
    <w:rsid w:val="61A1D622"/>
    <w:rsid w:val="61CD23C2"/>
    <w:rsid w:val="61D7FB1E"/>
    <w:rsid w:val="61E15410"/>
    <w:rsid w:val="61EFBB9A"/>
    <w:rsid w:val="61F6BBB1"/>
    <w:rsid w:val="626F441C"/>
    <w:rsid w:val="6295E84A"/>
    <w:rsid w:val="629CF325"/>
    <w:rsid w:val="62CDE58C"/>
    <w:rsid w:val="62D9C984"/>
    <w:rsid w:val="631933E3"/>
    <w:rsid w:val="631B190C"/>
    <w:rsid w:val="631EB69A"/>
    <w:rsid w:val="6342C343"/>
    <w:rsid w:val="634B2BD1"/>
    <w:rsid w:val="6361EE2F"/>
    <w:rsid w:val="63A9E473"/>
    <w:rsid w:val="63C2D808"/>
    <w:rsid w:val="63C7EB63"/>
    <w:rsid w:val="63EF545C"/>
    <w:rsid w:val="640ACE20"/>
    <w:rsid w:val="64151C77"/>
    <w:rsid w:val="642300DD"/>
    <w:rsid w:val="64A51DE2"/>
    <w:rsid w:val="64DEAD48"/>
    <w:rsid w:val="64FE6ADB"/>
    <w:rsid w:val="65049D20"/>
    <w:rsid w:val="65599097"/>
    <w:rsid w:val="65706669"/>
    <w:rsid w:val="65774D27"/>
    <w:rsid w:val="6581F220"/>
    <w:rsid w:val="6586B435"/>
    <w:rsid w:val="6588850A"/>
    <w:rsid w:val="65ACB632"/>
    <w:rsid w:val="65BB5DC9"/>
    <w:rsid w:val="65D64275"/>
    <w:rsid w:val="65FD872D"/>
    <w:rsid w:val="660CDC48"/>
    <w:rsid w:val="66224834"/>
    <w:rsid w:val="662AF291"/>
    <w:rsid w:val="6652207E"/>
    <w:rsid w:val="66746D85"/>
    <w:rsid w:val="66892022"/>
    <w:rsid w:val="668A5CA1"/>
    <w:rsid w:val="66B021CF"/>
    <w:rsid w:val="66BE0DF2"/>
    <w:rsid w:val="66CB943B"/>
    <w:rsid w:val="66D06CC0"/>
    <w:rsid w:val="67548BE4"/>
    <w:rsid w:val="6780BBBB"/>
    <w:rsid w:val="67A00FCC"/>
    <w:rsid w:val="67B81717"/>
    <w:rsid w:val="67BDBD5A"/>
    <w:rsid w:val="67BE0016"/>
    <w:rsid w:val="67FF3FD8"/>
    <w:rsid w:val="682F2564"/>
    <w:rsid w:val="6834A9E6"/>
    <w:rsid w:val="687ACAF3"/>
    <w:rsid w:val="688E7112"/>
    <w:rsid w:val="68B4226A"/>
    <w:rsid w:val="68C0ADA5"/>
    <w:rsid w:val="68C77DE1"/>
    <w:rsid w:val="68E66F16"/>
    <w:rsid w:val="68F9014F"/>
    <w:rsid w:val="691CB2AD"/>
    <w:rsid w:val="692F2476"/>
    <w:rsid w:val="69A6DF34"/>
    <w:rsid w:val="69AA1DBD"/>
    <w:rsid w:val="69D7526B"/>
    <w:rsid w:val="69F65FC6"/>
    <w:rsid w:val="6A0134F0"/>
    <w:rsid w:val="6A03477B"/>
    <w:rsid w:val="6A0AD0C0"/>
    <w:rsid w:val="6A13FF1B"/>
    <w:rsid w:val="6A4C7117"/>
    <w:rsid w:val="6A725D56"/>
    <w:rsid w:val="6B188EBB"/>
    <w:rsid w:val="6B3A0322"/>
    <w:rsid w:val="6B3A5A99"/>
    <w:rsid w:val="6B454418"/>
    <w:rsid w:val="6B4FD6F7"/>
    <w:rsid w:val="6B50F483"/>
    <w:rsid w:val="6B5C5967"/>
    <w:rsid w:val="6B89CCF6"/>
    <w:rsid w:val="6B8E6244"/>
    <w:rsid w:val="6BA98EEC"/>
    <w:rsid w:val="6BC1B1B0"/>
    <w:rsid w:val="6BC959C7"/>
    <w:rsid w:val="6C02E215"/>
    <w:rsid w:val="6C40E920"/>
    <w:rsid w:val="6CB05F18"/>
    <w:rsid w:val="6D34E54C"/>
    <w:rsid w:val="6D714779"/>
    <w:rsid w:val="6D8CE98B"/>
    <w:rsid w:val="6D981DEF"/>
    <w:rsid w:val="6DA31413"/>
    <w:rsid w:val="6DB389DA"/>
    <w:rsid w:val="6DB46EA5"/>
    <w:rsid w:val="6DB5160E"/>
    <w:rsid w:val="6DBAF1F1"/>
    <w:rsid w:val="6DCF61B0"/>
    <w:rsid w:val="6DD6BA3D"/>
    <w:rsid w:val="6DF08D6D"/>
    <w:rsid w:val="6DF332E6"/>
    <w:rsid w:val="6DF991B8"/>
    <w:rsid w:val="6E32D448"/>
    <w:rsid w:val="6E4D1E01"/>
    <w:rsid w:val="6E5641ED"/>
    <w:rsid w:val="6EC55FCB"/>
    <w:rsid w:val="6F139E3E"/>
    <w:rsid w:val="6F35DFBC"/>
    <w:rsid w:val="6F57B4E3"/>
    <w:rsid w:val="6F7F5ED6"/>
    <w:rsid w:val="6FA25C72"/>
    <w:rsid w:val="6FDCF40A"/>
    <w:rsid w:val="6FF6D8A6"/>
    <w:rsid w:val="6FFC727F"/>
    <w:rsid w:val="70632737"/>
    <w:rsid w:val="707FB74C"/>
    <w:rsid w:val="70B86EDD"/>
    <w:rsid w:val="70C6F0DE"/>
    <w:rsid w:val="70C9E80F"/>
    <w:rsid w:val="70D43808"/>
    <w:rsid w:val="70D4A50A"/>
    <w:rsid w:val="70E24943"/>
    <w:rsid w:val="70E6B1BB"/>
    <w:rsid w:val="70EDA6AC"/>
    <w:rsid w:val="70F23724"/>
    <w:rsid w:val="70FD1E98"/>
    <w:rsid w:val="70FEF0B0"/>
    <w:rsid w:val="711CD0E2"/>
    <w:rsid w:val="712BCFD1"/>
    <w:rsid w:val="712D43DF"/>
    <w:rsid w:val="7133A158"/>
    <w:rsid w:val="71555979"/>
    <w:rsid w:val="71A46B6C"/>
    <w:rsid w:val="71DEE404"/>
    <w:rsid w:val="71EFDE29"/>
    <w:rsid w:val="71F957EB"/>
    <w:rsid w:val="7207D504"/>
    <w:rsid w:val="723B611C"/>
    <w:rsid w:val="723C23A7"/>
    <w:rsid w:val="7257EACF"/>
    <w:rsid w:val="725D80D8"/>
    <w:rsid w:val="72836B4B"/>
    <w:rsid w:val="7289F8D1"/>
    <w:rsid w:val="729FED67"/>
    <w:rsid w:val="72A42362"/>
    <w:rsid w:val="72C63BF6"/>
    <w:rsid w:val="72D5AFE1"/>
    <w:rsid w:val="72DF3FEF"/>
    <w:rsid w:val="731F4AC4"/>
    <w:rsid w:val="7364D816"/>
    <w:rsid w:val="73684C63"/>
    <w:rsid w:val="7373D33A"/>
    <w:rsid w:val="73A561EA"/>
    <w:rsid w:val="73A9B329"/>
    <w:rsid w:val="73B1F9B5"/>
    <w:rsid w:val="73DBA701"/>
    <w:rsid w:val="73F9AB64"/>
    <w:rsid w:val="74131A34"/>
    <w:rsid w:val="7465698F"/>
    <w:rsid w:val="746A65DC"/>
    <w:rsid w:val="74711FFD"/>
    <w:rsid w:val="7471E183"/>
    <w:rsid w:val="7475ABD9"/>
    <w:rsid w:val="747EE8E9"/>
    <w:rsid w:val="74A76A9D"/>
    <w:rsid w:val="74CDA5E4"/>
    <w:rsid w:val="74DC76BE"/>
    <w:rsid w:val="74E16421"/>
    <w:rsid w:val="74E3AE6E"/>
    <w:rsid w:val="74F5086F"/>
    <w:rsid w:val="75023761"/>
    <w:rsid w:val="751229EA"/>
    <w:rsid w:val="751C14ED"/>
    <w:rsid w:val="751DD3D8"/>
    <w:rsid w:val="7545695A"/>
    <w:rsid w:val="75472E01"/>
    <w:rsid w:val="7577485F"/>
    <w:rsid w:val="757E62BB"/>
    <w:rsid w:val="758693BA"/>
    <w:rsid w:val="75B01BAF"/>
    <w:rsid w:val="75B34FC7"/>
    <w:rsid w:val="75E51423"/>
    <w:rsid w:val="75E6273E"/>
    <w:rsid w:val="761D6E7F"/>
    <w:rsid w:val="763A7BD2"/>
    <w:rsid w:val="764249D0"/>
    <w:rsid w:val="76560251"/>
    <w:rsid w:val="76657572"/>
    <w:rsid w:val="76681BE2"/>
    <w:rsid w:val="7670D8C4"/>
    <w:rsid w:val="767ADE0E"/>
    <w:rsid w:val="76B089A2"/>
    <w:rsid w:val="76DAC14F"/>
    <w:rsid w:val="77114B4B"/>
    <w:rsid w:val="7733E00D"/>
    <w:rsid w:val="7734E016"/>
    <w:rsid w:val="773A074C"/>
    <w:rsid w:val="773B9968"/>
    <w:rsid w:val="774D2138"/>
    <w:rsid w:val="7761E28A"/>
    <w:rsid w:val="777D0708"/>
    <w:rsid w:val="777F91C2"/>
    <w:rsid w:val="77864A3E"/>
    <w:rsid w:val="7790A5B2"/>
    <w:rsid w:val="77919951"/>
    <w:rsid w:val="77A0725D"/>
    <w:rsid w:val="77D4F313"/>
    <w:rsid w:val="77E3F1B6"/>
    <w:rsid w:val="7822A50C"/>
    <w:rsid w:val="7831F23C"/>
    <w:rsid w:val="78338684"/>
    <w:rsid w:val="78568CAE"/>
    <w:rsid w:val="7863E9D6"/>
    <w:rsid w:val="7882AEFE"/>
    <w:rsid w:val="78A0FFCF"/>
    <w:rsid w:val="78CC771F"/>
    <w:rsid w:val="78EE2C9A"/>
    <w:rsid w:val="791173AA"/>
    <w:rsid w:val="79117E73"/>
    <w:rsid w:val="79296D4E"/>
    <w:rsid w:val="79662FED"/>
    <w:rsid w:val="79A86B8E"/>
    <w:rsid w:val="79B6A0B4"/>
    <w:rsid w:val="79C5E110"/>
    <w:rsid w:val="79D07E0F"/>
    <w:rsid w:val="7A1A9457"/>
    <w:rsid w:val="7A315E9D"/>
    <w:rsid w:val="7A5DF886"/>
    <w:rsid w:val="7A76E31B"/>
    <w:rsid w:val="7A85C7BF"/>
    <w:rsid w:val="7AAA7555"/>
    <w:rsid w:val="7AF66F4C"/>
    <w:rsid w:val="7B0640B9"/>
    <w:rsid w:val="7B183EB2"/>
    <w:rsid w:val="7B3C87CC"/>
    <w:rsid w:val="7B8A7961"/>
    <w:rsid w:val="7B932664"/>
    <w:rsid w:val="7B954725"/>
    <w:rsid w:val="7BA36AC8"/>
    <w:rsid w:val="7BCF95FB"/>
    <w:rsid w:val="7BED2608"/>
    <w:rsid w:val="7C1C79B4"/>
    <w:rsid w:val="7C435F12"/>
    <w:rsid w:val="7C4BE263"/>
    <w:rsid w:val="7C512891"/>
    <w:rsid w:val="7C51CC51"/>
    <w:rsid w:val="7C56762D"/>
    <w:rsid w:val="7C9CD3EA"/>
    <w:rsid w:val="7CD532E9"/>
    <w:rsid w:val="7CE19EB6"/>
    <w:rsid w:val="7D25B28D"/>
    <w:rsid w:val="7D3F2312"/>
    <w:rsid w:val="7D4CDC8E"/>
    <w:rsid w:val="7D75E9A8"/>
    <w:rsid w:val="7DEC2173"/>
    <w:rsid w:val="7E15B170"/>
    <w:rsid w:val="7E5FA99F"/>
    <w:rsid w:val="7E776253"/>
    <w:rsid w:val="7EA78EA7"/>
    <w:rsid w:val="7EC5D14F"/>
    <w:rsid w:val="7ECAA946"/>
    <w:rsid w:val="7F106072"/>
    <w:rsid w:val="7F32FDB6"/>
    <w:rsid w:val="7F45A714"/>
    <w:rsid w:val="7F838EEA"/>
    <w:rsid w:val="7F95EE4F"/>
    <w:rsid w:val="7FAC25AC"/>
    <w:rsid w:val="7FCE537A"/>
    <w:rsid w:val="7FDF0A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13B34"/>
  <w15:docId w15:val="{F3FA694C-596E-417D-A978-1480F160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445"/>
    <w:rPr>
      <w:rFonts w:ascii="Calibri" w:hAnsi="Calibri" w:cs="Calibri"/>
      <w:sz w:val="22"/>
      <w:szCs w:val="22"/>
      <w:lang w:val="es-CO" w:eastAsia="es-CO"/>
    </w:rPr>
  </w:style>
  <w:style w:type="paragraph" w:styleId="Ttulo1">
    <w:name w:val="heading 1"/>
    <w:basedOn w:val="Normal"/>
    <w:next w:val="Normal"/>
    <w:uiPriority w:val="9"/>
    <w:qFormat/>
    <w:rsid w:val="42D1E533"/>
    <w:pPr>
      <w:keepNext/>
      <w:keepLines/>
      <w:spacing w:before="360" w:after="80"/>
      <w:outlineLvl w:val="0"/>
    </w:pPr>
    <w:rPr>
      <w:rFonts w:asciiTheme="majorHAnsi" w:eastAsiaTheme="majorEastAsia" w:hAnsiTheme="majorHAnsi" w:cstheme="majorBidi"/>
      <w:b/>
      <w:color w:val="365F91" w:themeColor="accent1" w:themeShade="BF"/>
      <w:szCs w:val="40"/>
    </w:rPr>
  </w:style>
  <w:style w:type="paragraph" w:styleId="Ttulo2">
    <w:name w:val="heading 2"/>
    <w:basedOn w:val="Normal"/>
    <w:next w:val="Normal"/>
    <w:link w:val="Ttulo2Car"/>
    <w:uiPriority w:val="9"/>
    <w:unhideWhenUsed/>
    <w:qFormat/>
    <w:rsid w:val="008B6E15"/>
    <w:pPr>
      <w:keepNext/>
      <w:keepLines/>
      <w:spacing w:before="40"/>
      <w:outlineLvl w:val="1"/>
    </w:pPr>
    <w:rPr>
      <w:rFonts w:asciiTheme="majorHAnsi" w:eastAsiaTheme="majorEastAsia" w:hAnsiTheme="majorHAnsi" w:cstheme="majorBidi"/>
      <w:b/>
      <w:color w:val="365F91" w:themeColor="accent1" w:themeShade="BF"/>
      <w:szCs w:val="26"/>
    </w:rPr>
  </w:style>
  <w:style w:type="paragraph" w:styleId="Ttulo3">
    <w:name w:val="heading 3"/>
    <w:basedOn w:val="Normal"/>
    <w:link w:val="Ttulo3Car"/>
    <w:uiPriority w:val="9"/>
    <w:qFormat/>
    <w:rsid w:val="001C4696"/>
    <w:pPr>
      <w:spacing w:beforeAutospacing="1" w:afterAutospacing="1"/>
      <w:outlineLvl w:val="2"/>
    </w:pPr>
    <w:rPr>
      <w:rFonts w:ascii="Arial" w:eastAsia="Arial" w:hAnsi="Arial" w:cs="Arial"/>
      <w:b/>
      <w:bCs/>
      <w:szCs w:val="27"/>
      <w:lang w:val="es-ES_tradnl" w:eastAsia="es-ES_tradnl"/>
    </w:rPr>
  </w:style>
  <w:style w:type="paragraph" w:styleId="Ttulo4">
    <w:name w:val="heading 4"/>
    <w:basedOn w:val="Normal"/>
    <w:next w:val="Normal"/>
    <w:link w:val="Ttulo4Car"/>
    <w:uiPriority w:val="9"/>
    <w:unhideWhenUsed/>
    <w:qFormat/>
    <w:rsid w:val="6A8A9E03"/>
    <w:pPr>
      <w:keepNext/>
      <w:keepLines/>
      <w:numPr>
        <w:numId w:val="15"/>
      </w:numPr>
      <w:spacing w:before="80" w:after="40"/>
      <w:outlineLvl w:val="3"/>
    </w:pPr>
    <w:rPr>
      <w:rFonts w:ascii="Arial" w:eastAsiaTheme="majorEastAsia" w:hAnsi="Arial" w:cstheme="majorBidi"/>
      <w:b/>
      <w:iCs/>
      <w:color w:val="365F91" w:themeColor="accent1" w:themeShade="BF"/>
    </w:rPr>
  </w:style>
  <w:style w:type="paragraph" w:styleId="Ttulo5">
    <w:name w:val="heading 5"/>
    <w:basedOn w:val="Normal"/>
    <w:next w:val="Normal"/>
    <w:uiPriority w:val="9"/>
    <w:unhideWhenUsed/>
    <w:qFormat/>
    <w:rsid w:val="42D1E533"/>
    <w:pPr>
      <w:keepNext/>
      <w:keepLines/>
      <w:spacing w:before="80" w:after="40"/>
      <w:outlineLvl w:val="4"/>
    </w:pPr>
    <w:rPr>
      <w:rFonts w:ascii="Arial" w:eastAsiaTheme="majorEastAsia" w:hAnsi="Arial" w:cstheme="majorBidi"/>
      <w:b/>
      <w:color w:val="365F91" w:themeColor="accent1" w:themeShade="BF"/>
    </w:rPr>
  </w:style>
  <w:style w:type="paragraph" w:styleId="Ttulo6">
    <w:name w:val="heading 6"/>
    <w:basedOn w:val="Normal"/>
    <w:next w:val="Normal"/>
    <w:uiPriority w:val="9"/>
    <w:unhideWhenUsed/>
    <w:qFormat/>
    <w:rsid w:val="42D1E533"/>
    <w:pPr>
      <w:keepNext/>
      <w:keepLines/>
      <w:spacing w:before="80" w:after="40"/>
      <w:outlineLvl w:val="5"/>
    </w:pPr>
    <w:rPr>
      <w:rFonts w:ascii="Arial" w:eastAsiaTheme="majorEastAsia" w:hAnsi="Arial" w:cstheme="majorBidi"/>
      <w:b/>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838D1"/>
  </w:style>
  <w:style w:type="character" w:customStyle="1" w:styleId="PiedepginaCar">
    <w:name w:val="Pie de página Car"/>
    <w:basedOn w:val="Fuentedeprrafopredeter"/>
    <w:link w:val="Piedepgina"/>
    <w:uiPriority w:val="99"/>
    <w:qFormat/>
    <w:rsid w:val="005838D1"/>
  </w:style>
  <w:style w:type="character" w:customStyle="1" w:styleId="TextodegloboCar">
    <w:name w:val="Texto de globo Car"/>
    <w:basedOn w:val="Fuentedeprrafopredeter"/>
    <w:link w:val="Textodeglobo"/>
    <w:uiPriority w:val="99"/>
    <w:semiHidden/>
    <w:qFormat/>
    <w:rsid w:val="005838D1"/>
    <w:rPr>
      <w:rFonts w:ascii="Lucida Grande" w:hAnsi="Lucida Grande" w:cs="Lucida Grande"/>
      <w:sz w:val="18"/>
      <w:szCs w:val="18"/>
    </w:rPr>
  </w:style>
  <w:style w:type="character" w:customStyle="1" w:styleId="TtuloCar">
    <w:name w:val="Título Car"/>
    <w:basedOn w:val="Fuentedeprrafopredeter"/>
    <w:link w:val="Ttulo"/>
    <w:uiPriority w:val="10"/>
    <w:qFormat/>
    <w:rsid w:val="00DB6103"/>
    <w:rPr>
      <w:rFonts w:asciiTheme="majorHAnsi" w:eastAsiaTheme="majorEastAsia" w:hAnsiTheme="majorHAnsi" w:cstheme="majorBidi"/>
      <w:spacing w:val="-10"/>
      <w:kern w:val="2"/>
      <w:sz w:val="56"/>
      <w:szCs w:val="56"/>
      <w:lang w:val="es-CO" w:eastAsia="es-CO"/>
    </w:rPr>
  </w:style>
  <w:style w:type="character" w:customStyle="1" w:styleId="Ttulo3Car">
    <w:name w:val="Título 3 Car"/>
    <w:basedOn w:val="Fuentedeprrafopredeter"/>
    <w:link w:val="Ttulo3"/>
    <w:uiPriority w:val="9"/>
    <w:qFormat/>
    <w:rsid w:val="001C4696"/>
    <w:rPr>
      <w:rFonts w:ascii="Times New Roman" w:hAnsi="Times New Roman" w:cs="Times New Roman"/>
      <w:b/>
      <w:bCs/>
      <w:sz w:val="27"/>
      <w:szCs w:val="27"/>
      <w:lang w:val="es-ES_tradnl" w:eastAsia="es-ES_tradnl"/>
    </w:rPr>
  </w:style>
  <w:style w:type="character" w:customStyle="1" w:styleId="ng-star-inserted">
    <w:name w:val="ng-star-inserted"/>
    <w:basedOn w:val="Fuentedeprrafopredeter"/>
    <w:qFormat/>
    <w:rsid w:val="004A169D"/>
  </w:style>
  <w:style w:type="character" w:customStyle="1" w:styleId="Ttulo2Car">
    <w:name w:val="Título 2 Car"/>
    <w:basedOn w:val="Fuentedeprrafopredeter"/>
    <w:link w:val="Ttulo2"/>
    <w:uiPriority w:val="9"/>
    <w:qFormat/>
    <w:rsid w:val="008B6E15"/>
    <w:rPr>
      <w:rFonts w:asciiTheme="majorHAnsi" w:eastAsiaTheme="majorEastAsia" w:hAnsiTheme="majorHAnsi" w:cstheme="majorBidi"/>
      <w:color w:val="365F91" w:themeColor="accent1" w:themeShade="BF"/>
      <w:sz w:val="26"/>
      <w:szCs w:val="26"/>
      <w:lang w:val="es-CO" w:eastAsia="es-CO"/>
    </w:rPr>
  </w:style>
  <w:style w:type="character" w:styleId="Mencionar">
    <w:name w:val="Mention"/>
    <w:basedOn w:val="Fuentedeprrafopredeter"/>
    <w:uiPriority w:val="99"/>
    <w:unhideWhenUsed/>
    <w:qFormat/>
    <w:rsid w:val="007650D9"/>
    <w:rPr>
      <w:color w:val="2B579A"/>
      <w:shd w:val="clear" w:color="auto" w:fill="E1DFDD"/>
    </w:rPr>
  </w:style>
  <w:style w:type="character" w:customStyle="1" w:styleId="PrrafodelistaCar">
    <w:name w:val="Párrafo de lista Car"/>
    <w:link w:val="Prrafodelista"/>
    <w:uiPriority w:val="34"/>
    <w:qFormat/>
    <w:rsid w:val="00075677"/>
    <w:rPr>
      <w:rFonts w:ascii="Calibri" w:hAnsi="Calibri" w:cs="Calibri"/>
      <w:sz w:val="22"/>
      <w:szCs w:val="22"/>
      <w:lang w:val="es-CO" w:eastAsia="es-CO"/>
    </w:rPr>
  </w:style>
  <w:style w:type="character" w:customStyle="1" w:styleId="DescripcinCar">
    <w:name w:val="Descripción Car"/>
    <w:link w:val="Descripcin"/>
    <w:uiPriority w:val="35"/>
    <w:qFormat/>
    <w:rsid w:val="00EA625B"/>
    <w:rPr>
      <w:rFonts w:ascii="Calibri" w:hAnsi="Calibri" w:cs="Calibri"/>
      <w:i/>
      <w:iCs/>
      <w:color w:val="1F497D" w:themeColor="text2"/>
      <w:sz w:val="18"/>
      <w:szCs w:val="18"/>
      <w:lang w:val="es-CO" w:eastAsia="es-CO"/>
    </w:rPr>
  </w:style>
  <w:style w:type="character" w:customStyle="1" w:styleId="TextonotapieCar">
    <w:name w:val="Texto nota pie Car"/>
    <w:basedOn w:val="Fuentedeprrafopredeter"/>
    <w:link w:val="Textonotapie"/>
    <w:uiPriority w:val="99"/>
    <w:qFormat/>
    <w:rsid w:val="00EA625B"/>
    <w:rPr>
      <w:rFonts w:ascii="Arial" w:eastAsia="Times New Roman" w:hAnsi="Arial" w:cs="Times New Roman"/>
      <w:sz w:val="20"/>
      <w:szCs w:val="20"/>
      <w:lang w:val="es-CO" w:eastAsia="es-MX"/>
    </w:rPr>
  </w:style>
  <w:style w:type="character" w:customStyle="1" w:styleId="FootnoteCharactersuser">
    <w:name w:val="Footnote Characters (user)"/>
    <w:uiPriority w:val="99"/>
    <w:unhideWhenUsed/>
    <w:qFormat/>
    <w:rsid w:val="00EA625B"/>
    <w:rPr>
      <w:vertAlign w:val="superscript"/>
    </w:rPr>
  </w:style>
  <w:style w:type="character" w:customStyle="1" w:styleId="FootnoteCharacters">
    <w:name w:val="Footnote Characters"/>
    <w:qFormat/>
    <w:rPr>
      <w:vertAlign w:val="superscript"/>
    </w:rPr>
  </w:style>
  <w:style w:type="character" w:styleId="Refdenotaalpie">
    <w:name w:val="footnote reference"/>
    <w:rPr>
      <w:vertAlign w:val="superscript"/>
    </w:rPr>
  </w:style>
  <w:style w:type="character" w:customStyle="1" w:styleId="Ttulo4Car">
    <w:name w:val="Título 4 Car"/>
    <w:basedOn w:val="Fuentedeprrafopredeter"/>
    <w:link w:val="Ttulo4"/>
    <w:uiPriority w:val="9"/>
    <w:qFormat/>
    <w:rsid w:val="00E356C0"/>
    <w:rPr>
      <w:rFonts w:ascii="Arial" w:eastAsiaTheme="majorEastAsia" w:hAnsi="Arial" w:cstheme="majorBidi"/>
      <w:b/>
      <w:iCs/>
      <w:color w:val="365F91" w:themeColor="accent1" w:themeShade="BF"/>
      <w:sz w:val="22"/>
      <w:szCs w:val="22"/>
      <w:lang w:val="es-CO" w:eastAsia="es-CO"/>
    </w:rPr>
  </w:style>
  <w:style w:type="character" w:styleId="Hipervnculo">
    <w:name w:val="Hyperlink"/>
    <w:basedOn w:val="Fuentedeprrafopredeter"/>
    <w:uiPriority w:val="99"/>
    <w:unhideWhenUsed/>
    <w:rsid w:val="00BE0CF7"/>
    <w:rPr>
      <w:color w:val="0000FF" w:themeColor="hyperlink"/>
      <w:u w:val="single"/>
    </w:rPr>
  </w:style>
  <w:style w:type="character" w:styleId="Mencinsinresolver">
    <w:name w:val="Unresolved Mention"/>
    <w:basedOn w:val="Fuentedeprrafopredeter"/>
    <w:uiPriority w:val="99"/>
    <w:semiHidden/>
    <w:unhideWhenUsed/>
    <w:qFormat/>
    <w:rsid w:val="00AF6FE2"/>
    <w:rPr>
      <w:color w:val="605E5C"/>
      <w:shd w:val="clear" w:color="auto" w:fill="E1DFDD"/>
    </w:rPr>
  </w:style>
  <w:style w:type="character" w:customStyle="1" w:styleId="wacimagecontainer">
    <w:name w:val="wacimagecontainer"/>
    <w:basedOn w:val="Fuentedeprrafopredeter"/>
    <w:qFormat/>
    <w:rsid w:val="005A4571"/>
  </w:style>
  <w:style w:type="character" w:styleId="Nmerodelnea">
    <w:name w:val="line number"/>
  </w:style>
  <w:style w:type="character" w:customStyle="1" w:styleId="IndexLink">
    <w:name w:val="Index Link"/>
    <w:qFormat/>
  </w:style>
  <w:style w:type="paragraph" w:customStyle="1" w:styleId="Heading">
    <w:name w:val="Heading"/>
    <w:basedOn w:val="Normal"/>
    <w:next w:val="Textoindependiente"/>
    <w:qFormat/>
    <w:pPr>
      <w:keepNext/>
      <w:spacing w:before="240" w:after="120"/>
    </w:pPr>
    <w:rPr>
      <w:rFonts w:ascii="Liberation Sans" w:eastAsia="Noto Sans CJK SC" w:hAnsi="Liberation Sans" w:cs="DejaVu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DejaVu Sans"/>
    </w:rPr>
  </w:style>
  <w:style w:type="paragraph" w:styleId="Descripcin">
    <w:name w:val="caption"/>
    <w:basedOn w:val="Normal"/>
    <w:next w:val="Normal"/>
    <w:link w:val="DescripcinCar"/>
    <w:uiPriority w:val="35"/>
    <w:unhideWhenUsed/>
    <w:qFormat/>
    <w:rsid w:val="00305DC0"/>
    <w:pPr>
      <w:spacing w:after="200"/>
    </w:pPr>
    <w:rPr>
      <w:i/>
      <w:iCs/>
      <w:color w:val="1F497D" w:themeColor="text2"/>
      <w:sz w:val="18"/>
      <w:szCs w:val="18"/>
    </w:rPr>
  </w:style>
  <w:style w:type="paragraph" w:customStyle="1" w:styleId="Index">
    <w:name w:val="Index"/>
    <w:basedOn w:val="Normal"/>
    <w:qFormat/>
    <w:pPr>
      <w:suppressLineNumbers/>
    </w:pPr>
    <w:rPr>
      <w:rFonts w:cs="DejaVu Sans"/>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5838D1"/>
    <w:pPr>
      <w:tabs>
        <w:tab w:val="center" w:pos="4320"/>
        <w:tab w:val="right" w:pos="8640"/>
      </w:tabs>
    </w:pPr>
    <w:rPr>
      <w:rFonts w:asciiTheme="minorHAnsi" w:hAnsiTheme="minorHAnsi" w:cstheme="minorBidi"/>
      <w:sz w:val="24"/>
      <w:szCs w:val="24"/>
      <w:lang w:eastAsia="en-US"/>
    </w:rPr>
  </w:style>
  <w:style w:type="paragraph" w:styleId="Piedepgina">
    <w:name w:val="footer"/>
    <w:basedOn w:val="Normal"/>
    <w:link w:val="PiedepginaCar"/>
    <w:uiPriority w:val="99"/>
    <w:unhideWhenUsed/>
    <w:rsid w:val="005838D1"/>
    <w:pPr>
      <w:tabs>
        <w:tab w:val="center" w:pos="4320"/>
        <w:tab w:val="right" w:pos="8640"/>
      </w:tabs>
    </w:pPr>
    <w:rPr>
      <w:rFonts w:asciiTheme="minorHAnsi" w:hAnsiTheme="minorHAnsi" w:cstheme="minorBidi"/>
      <w:sz w:val="24"/>
      <w:szCs w:val="24"/>
      <w:lang w:eastAsia="en-US"/>
    </w:rPr>
  </w:style>
  <w:style w:type="paragraph" w:styleId="Textodeglobo">
    <w:name w:val="Balloon Text"/>
    <w:basedOn w:val="Normal"/>
    <w:link w:val="TextodegloboCar"/>
    <w:uiPriority w:val="99"/>
    <w:semiHidden/>
    <w:unhideWhenUsed/>
    <w:qFormat/>
    <w:rsid w:val="005838D1"/>
    <w:rPr>
      <w:rFonts w:ascii="Lucida Grande" w:hAnsi="Lucida Grande" w:cs="Lucida Grande"/>
      <w:sz w:val="18"/>
      <w:szCs w:val="18"/>
      <w:lang w:eastAsia="en-US"/>
    </w:rPr>
  </w:style>
  <w:style w:type="paragraph" w:styleId="NormalWeb">
    <w:name w:val="Normal (Web)"/>
    <w:basedOn w:val="Normal"/>
    <w:uiPriority w:val="99"/>
    <w:semiHidden/>
    <w:unhideWhenUsed/>
    <w:qFormat/>
    <w:rsid w:val="00152CB4"/>
    <w:pPr>
      <w:spacing w:beforeAutospacing="1" w:afterAutospacing="1"/>
    </w:pPr>
    <w:rPr>
      <w:rFonts w:ascii="Times New Roman" w:eastAsia="Times New Roman" w:hAnsi="Times New Roman" w:cs="Times New Roman"/>
    </w:rPr>
  </w:style>
  <w:style w:type="paragraph" w:styleId="Ttulo">
    <w:name w:val="Title"/>
    <w:basedOn w:val="Normal"/>
    <w:next w:val="Normal"/>
    <w:link w:val="TtuloCar"/>
    <w:uiPriority w:val="10"/>
    <w:qFormat/>
    <w:rsid w:val="00DB6103"/>
    <w:pPr>
      <w:contextualSpacing/>
    </w:pPr>
    <w:rPr>
      <w:rFonts w:asciiTheme="majorHAnsi" w:eastAsiaTheme="majorEastAsia" w:hAnsiTheme="majorHAnsi" w:cstheme="majorBidi"/>
      <w:spacing w:val="-10"/>
      <w:kern w:val="2"/>
      <w:sz w:val="56"/>
      <w:szCs w:val="56"/>
    </w:rPr>
  </w:style>
  <w:style w:type="paragraph" w:customStyle="1" w:styleId="elementtoproof">
    <w:name w:val="elementtoproof"/>
    <w:basedOn w:val="Normal"/>
    <w:qFormat/>
    <w:rsid w:val="000F0445"/>
  </w:style>
  <w:style w:type="paragraph" w:styleId="Prrafodelista">
    <w:name w:val="List Paragraph"/>
    <w:basedOn w:val="Normal"/>
    <w:link w:val="PrrafodelistaCar"/>
    <w:uiPriority w:val="34"/>
    <w:qFormat/>
    <w:rsid w:val="00D96351"/>
    <w:pPr>
      <w:ind w:left="720"/>
      <w:contextualSpacing/>
    </w:pPr>
  </w:style>
  <w:style w:type="paragraph" w:customStyle="1" w:styleId="Default">
    <w:name w:val="Default"/>
    <w:qFormat/>
    <w:rsid w:val="005668AD"/>
    <w:rPr>
      <w:rFonts w:ascii="Arial" w:eastAsia="Cambria" w:hAnsi="Arial" w:cs="Arial"/>
      <w:color w:val="000000"/>
      <w:lang w:val="es-CO"/>
    </w:rPr>
  </w:style>
  <w:style w:type="paragraph" w:customStyle="1" w:styleId="paragraph">
    <w:name w:val="paragraph"/>
    <w:basedOn w:val="Normal"/>
    <w:qFormat/>
    <w:rsid w:val="00A367A1"/>
    <w:pPr>
      <w:spacing w:beforeAutospacing="1" w:afterAutospacing="1"/>
    </w:pPr>
    <w:rPr>
      <w:rFonts w:ascii="Times New Roman" w:eastAsia="Times New Roman" w:hAnsi="Times New Roman" w:cs="Times New Roman"/>
      <w:sz w:val="24"/>
      <w:szCs w:val="24"/>
    </w:rPr>
  </w:style>
  <w:style w:type="paragraph" w:styleId="Revisin">
    <w:name w:val="Revision"/>
    <w:uiPriority w:val="99"/>
    <w:semiHidden/>
    <w:qFormat/>
    <w:rsid w:val="00837144"/>
    <w:rPr>
      <w:rFonts w:ascii="Calibri" w:hAnsi="Calibri" w:cs="Calibri"/>
      <w:sz w:val="22"/>
      <w:szCs w:val="22"/>
      <w:lang w:val="es-CO" w:eastAsia="es-CO"/>
    </w:rPr>
  </w:style>
  <w:style w:type="paragraph" w:styleId="Textonotapie">
    <w:name w:val="footnote text"/>
    <w:basedOn w:val="Normal"/>
    <w:link w:val="TextonotapieCar"/>
    <w:uiPriority w:val="99"/>
    <w:unhideWhenUsed/>
    <w:qFormat/>
    <w:rsid w:val="00EA625B"/>
    <w:pPr>
      <w:jc w:val="both"/>
    </w:pPr>
    <w:rPr>
      <w:rFonts w:ascii="Arial" w:eastAsia="Times New Roman" w:hAnsi="Arial" w:cs="Times New Roman"/>
      <w:sz w:val="20"/>
      <w:szCs w:val="20"/>
      <w:lang w:eastAsia="es-MX"/>
    </w:rPr>
  </w:style>
  <w:style w:type="paragraph" w:styleId="TDC4">
    <w:name w:val="toc 4"/>
    <w:basedOn w:val="Normal"/>
    <w:next w:val="Normal"/>
    <w:autoRedefine/>
    <w:uiPriority w:val="39"/>
    <w:unhideWhenUsed/>
    <w:rsid w:val="006666D6"/>
    <w:pPr>
      <w:tabs>
        <w:tab w:val="left" w:pos="1680"/>
        <w:tab w:val="right" w:leader="dot" w:pos="8636"/>
      </w:tabs>
      <w:ind w:left="1080"/>
    </w:pPr>
    <w:rPr>
      <w:rFonts w:ascii="Arial" w:hAnsi="Arial" w:cs="Arial"/>
      <w:color w:val="595959"/>
    </w:rPr>
  </w:style>
  <w:style w:type="paragraph" w:styleId="TDC1">
    <w:name w:val="toc 1"/>
    <w:basedOn w:val="Normal"/>
    <w:next w:val="Normal"/>
    <w:autoRedefine/>
    <w:uiPriority w:val="39"/>
    <w:unhideWhenUsed/>
    <w:rsid w:val="00F97C9C"/>
    <w:pPr>
      <w:tabs>
        <w:tab w:val="right" w:leader="dot" w:pos="8636"/>
      </w:tabs>
      <w:spacing w:before="200" w:after="80"/>
    </w:pPr>
    <w:rPr>
      <w:rFonts w:ascii="Arial" w:hAnsi="Arial" w:cs="Arial"/>
      <w:b/>
      <w:bCs/>
      <w:color w:val="000000"/>
    </w:rPr>
  </w:style>
  <w:style w:type="paragraph" w:styleId="TDC2">
    <w:name w:val="toc 2"/>
    <w:basedOn w:val="Normal"/>
    <w:next w:val="Normal"/>
    <w:autoRedefine/>
    <w:uiPriority w:val="39"/>
    <w:unhideWhenUsed/>
    <w:rsid w:val="00BE0CF7"/>
    <w:pPr>
      <w:spacing w:before="40" w:after="40"/>
      <w:ind w:left="360"/>
    </w:pPr>
    <w:rPr>
      <w:rFonts w:ascii="Arial" w:hAnsi="Arial" w:cs="Arial"/>
      <w:color w:val="000000"/>
    </w:rPr>
  </w:style>
  <w:style w:type="paragraph" w:styleId="TDC3">
    <w:name w:val="toc 3"/>
    <w:basedOn w:val="Normal"/>
    <w:next w:val="Normal"/>
    <w:autoRedefine/>
    <w:uiPriority w:val="39"/>
    <w:unhideWhenUsed/>
    <w:rsid w:val="00BE0CF7"/>
    <w:pPr>
      <w:spacing w:after="40"/>
      <w:ind w:left="720"/>
    </w:pPr>
    <w:rPr>
      <w:rFonts w:ascii="Arial" w:hAnsi="Arial" w:cs="Arial"/>
      <w:color w:val="000000"/>
    </w:rPr>
  </w:style>
  <w:style w:type="paragraph" w:styleId="Tabladeilustraciones">
    <w:name w:val="table of figures"/>
    <w:basedOn w:val="Normal"/>
    <w:next w:val="Normal"/>
    <w:uiPriority w:val="99"/>
    <w:unhideWhenUsed/>
    <w:rsid w:val="0034773C"/>
    <w:rPr>
      <w:rFonts w:ascii="Arial" w:hAnsi="Arial"/>
    </w:rPr>
  </w:style>
  <w:style w:type="paragraph" w:styleId="Ttulodendice">
    <w:name w:val="index heading"/>
    <w:basedOn w:val="Heading"/>
  </w:style>
  <w:style w:type="paragraph" w:styleId="TtuloTDC">
    <w:name w:val="TOC Heading"/>
    <w:basedOn w:val="Ttulo1"/>
    <w:next w:val="Normal"/>
    <w:uiPriority w:val="39"/>
    <w:unhideWhenUsed/>
    <w:qFormat/>
    <w:rsid w:val="00AF6FE2"/>
    <w:pPr>
      <w:spacing w:before="240" w:after="0" w:line="259" w:lineRule="auto"/>
      <w:outlineLvl w:val="9"/>
    </w:pPr>
    <w:rPr>
      <w:sz w:val="32"/>
      <w:szCs w:val="32"/>
    </w:rPr>
  </w:style>
  <w:style w:type="paragraph" w:styleId="TDC5">
    <w:name w:val="toc 5"/>
    <w:basedOn w:val="Normal"/>
    <w:next w:val="Normal"/>
    <w:autoRedefine/>
    <w:uiPriority w:val="39"/>
    <w:unhideWhenUsed/>
    <w:rsid w:val="00AF6FE2"/>
    <w:pPr>
      <w:spacing w:line="278" w:lineRule="auto"/>
      <w:ind w:left="1440"/>
    </w:pPr>
    <w:rPr>
      <w:rFonts w:ascii="Arial" w:eastAsiaTheme="minorEastAsia" w:hAnsi="Arial" w:cs="Arial"/>
      <w:color w:val="595959"/>
      <w:kern w:val="2"/>
      <w:szCs w:val="24"/>
      <w14:ligatures w14:val="standardContextual"/>
    </w:rPr>
  </w:style>
  <w:style w:type="paragraph" w:styleId="TDC6">
    <w:name w:val="toc 6"/>
    <w:basedOn w:val="Normal"/>
    <w:next w:val="Normal"/>
    <w:autoRedefine/>
    <w:uiPriority w:val="39"/>
    <w:unhideWhenUsed/>
    <w:rsid w:val="00AF6FE2"/>
    <w:pPr>
      <w:spacing w:after="100" w:line="278" w:lineRule="auto"/>
      <w:ind w:left="1800"/>
    </w:pPr>
    <w:rPr>
      <w:rFonts w:ascii="Arial" w:eastAsiaTheme="minorEastAsia" w:hAnsi="Arial" w:cs="Arial"/>
      <w:kern w:val="2"/>
      <w:szCs w:val="24"/>
      <w14:ligatures w14:val="standardContextual"/>
    </w:rPr>
  </w:style>
  <w:style w:type="paragraph" w:styleId="TDC7">
    <w:name w:val="toc 7"/>
    <w:basedOn w:val="Normal"/>
    <w:next w:val="Normal"/>
    <w:autoRedefine/>
    <w:uiPriority w:val="39"/>
    <w:unhideWhenUsed/>
    <w:rsid w:val="00AF6FE2"/>
    <w:pPr>
      <w:spacing w:after="100" w:line="278" w:lineRule="auto"/>
      <w:ind w:left="2160"/>
    </w:pPr>
    <w:rPr>
      <w:rFonts w:ascii="Arial" w:eastAsiaTheme="minorEastAsia" w:hAnsi="Arial" w:cs="Arial"/>
      <w:kern w:val="2"/>
      <w:szCs w:val="24"/>
      <w14:ligatures w14:val="standardContextual"/>
    </w:rPr>
  </w:style>
  <w:style w:type="paragraph" w:styleId="TDC8">
    <w:name w:val="toc 8"/>
    <w:basedOn w:val="Normal"/>
    <w:next w:val="Normal"/>
    <w:autoRedefine/>
    <w:uiPriority w:val="39"/>
    <w:unhideWhenUsed/>
    <w:rsid w:val="00AF6FE2"/>
    <w:pPr>
      <w:spacing w:after="100" w:line="278" w:lineRule="auto"/>
      <w:ind w:left="2520"/>
    </w:pPr>
    <w:rPr>
      <w:rFonts w:ascii="Arial" w:eastAsiaTheme="minorEastAsia" w:hAnsi="Arial" w:cs="Arial"/>
      <w:kern w:val="2"/>
      <w:szCs w:val="24"/>
      <w14:ligatures w14:val="standardContextual"/>
    </w:rPr>
  </w:style>
  <w:style w:type="paragraph" w:styleId="TDC9">
    <w:name w:val="toc 9"/>
    <w:basedOn w:val="Normal"/>
    <w:next w:val="Normal"/>
    <w:autoRedefine/>
    <w:uiPriority w:val="39"/>
    <w:unhideWhenUsed/>
    <w:rsid w:val="00AF6FE2"/>
    <w:pPr>
      <w:spacing w:after="100" w:line="278" w:lineRule="auto"/>
      <w:ind w:left="2880"/>
    </w:pPr>
    <w:rPr>
      <w:rFonts w:ascii="Arial" w:eastAsiaTheme="minorEastAsia" w:hAnsi="Arial" w:cs="Arial"/>
      <w:kern w:val="2"/>
      <w:szCs w:val="24"/>
      <w14:ligatures w14:val="standardContextual"/>
    </w:rPr>
  </w:style>
  <w:style w:type="numbering" w:customStyle="1" w:styleId="Style1">
    <w:name w:val="Style1"/>
    <w:uiPriority w:val="99"/>
    <w:qFormat/>
    <w:rsid w:val="00E15F89"/>
  </w:style>
  <w:style w:type="table" w:styleId="Tablaconcuadrcula">
    <w:name w:val="Table Grid"/>
    <w:basedOn w:val="Tabla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clara">
    <w:name w:val="Grid Table Light"/>
    <w:basedOn w:val="Tablanormal"/>
    <w:uiPriority w:val="40"/>
    <w:rsid w:val="00084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Calibri" w:hAnsi="Calibri" w:cs="Calibri"/>
      <w:sz w:val="20"/>
      <w:szCs w:val="20"/>
      <w:lang w:val="es-CO" w:eastAsia="es-CO"/>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631BF7"/>
    <w:rPr>
      <w:b/>
      <w:bCs/>
    </w:rPr>
  </w:style>
  <w:style w:type="character" w:customStyle="1" w:styleId="AsuntodelcomentarioCar">
    <w:name w:val="Asunto del comentario Car"/>
    <w:basedOn w:val="TextocomentarioCar"/>
    <w:link w:val="Asuntodelcomentario"/>
    <w:uiPriority w:val="99"/>
    <w:semiHidden/>
    <w:rsid w:val="00631BF7"/>
    <w:rPr>
      <w:rFonts w:ascii="Calibri" w:hAnsi="Calibri" w:cs="Calibri"/>
      <w:b/>
      <w:bCs/>
      <w:sz w:val="20"/>
      <w:szCs w:val="20"/>
      <w:lang w:val="es-CO" w:eastAsia="es-CO"/>
    </w:rPr>
  </w:style>
  <w:style w:type="character" w:customStyle="1" w:styleId="CommentReference1">
    <w:name w:val="Comment Reference1"/>
    <w:basedOn w:val="Fuentedeprrafopredeter"/>
    <w:uiPriority w:val="99"/>
    <w:semiHidden/>
    <w:unhideWhenUsed/>
    <w:qFormat/>
    <w:rsid w:val="00AB3244"/>
    <w:rPr>
      <w:sz w:val="16"/>
      <w:szCs w:val="16"/>
    </w:rPr>
  </w:style>
  <w:style w:type="character" w:styleId="Fuerte">
    <w:name w:val="Strong"/>
    <w:basedOn w:val="Fuentedeprrafopredeter"/>
    <w:uiPriority w:val="22"/>
    <w:qFormat/>
    <w:rsid w:val="008F057C"/>
    <w:rPr>
      <w:b/>
      <w:bCs/>
    </w:rPr>
  </w:style>
  <w:style w:type="character" w:customStyle="1" w:styleId="baj">
    <w:name w:val="b_aj"/>
    <w:basedOn w:val="Fuentedeprrafopredeter"/>
    <w:rsid w:val="00601B56"/>
  </w:style>
  <w:style w:type="paragraph" w:customStyle="1" w:styleId="centrado">
    <w:name w:val="centrado"/>
    <w:basedOn w:val="Normal"/>
    <w:rsid w:val="00601B56"/>
    <w:pPr>
      <w:suppressAutoHyphens w:val="0"/>
      <w:spacing w:before="100" w:beforeAutospacing="1" w:after="100" w:afterAutospacing="1"/>
    </w:pPr>
    <w:rPr>
      <w:rFonts w:ascii="Times New Roman" w:eastAsia="Times New Roman" w:hAnsi="Times New Roman" w:cs="Times New Roman"/>
      <w:sz w:val="24"/>
      <w:szCs w:val="24"/>
    </w:rPr>
  </w:style>
  <w:style w:type="table" w:customStyle="1" w:styleId="Tablaconcuadrcula1">
    <w:name w:val="Tabla con cuadrícula1"/>
    <w:basedOn w:val="Tablanormal"/>
    <w:next w:val="Tablaconcuadrcula"/>
    <w:uiPriority w:val="39"/>
    <w:rsid w:val="00AB2B02"/>
    <w:pPr>
      <w:suppressAutoHyphens w:val="0"/>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186877">
      <w:bodyDiv w:val="1"/>
      <w:marLeft w:val="0"/>
      <w:marRight w:val="0"/>
      <w:marTop w:val="0"/>
      <w:marBottom w:val="0"/>
      <w:divBdr>
        <w:top w:val="none" w:sz="0" w:space="0" w:color="auto"/>
        <w:left w:val="none" w:sz="0" w:space="0" w:color="auto"/>
        <w:bottom w:val="none" w:sz="0" w:space="0" w:color="auto"/>
        <w:right w:val="none" w:sz="0" w:space="0" w:color="auto"/>
      </w:divBdr>
    </w:div>
    <w:div w:id="2045519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nambiente.gov.co/negocios-verdes/programa-nacional-de-pagos-por-servicios-ambientales/" TargetMode="External"/><Relationship Id="rId18" Type="http://schemas.openxmlformats.org/officeDocument/2006/relationships/image" Target="media/image3.e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https://www.minambiente.gov.co/negocios-verdes/programa-nacional-de-pagos-por-servicios-ambientales/" TargetMode="External"/><Relationship Id="rId17" Type="http://schemas.openxmlformats.org/officeDocument/2006/relationships/image" Target="media/image2.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nambiente.gov.co/negocios-verdes/programa-nacional-de-pagos-por-servicios-ambientale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minambiente.gov.co/negocios-verdes/programa-nacional-de-pagos-por-servicios-ambientales/"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ambiente.gov.co/negocios-verdes/programa-nacional-de-pagos-por-servicios-ambientales/" TargetMode="External"/><Relationship Id="rId22" Type="http://schemas.openxmlformats.org/officeDocument/2006/relationships/image" Target="media/image7.png"/><Relationship Id="rId27" Type="http://schemas.openxmlformats.org/officeDocument/2006/relationships/footer" Target="foot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footer2.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4e1cc9a-2460-4637-897f-e6ccb05c1c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MAD15</b:Tag>
    <b:SourceType>Book</b:SourceType>
    <b:Guid>{E384BF91-F1E8-4894-8464-1F2CCE058E46}</b:Guid>
    <b:Author>
      <b:Author>
        <b:Corporate>MADS</b:Corporate>
      </b:Author>
    </b:Author>
    <b:Title>Plan Nacional de Restauración</b:Title>
    <b:Year>2015</b:Year>
    <b:City>Bogotá</b:City>
    <b:Pages>91</b:Pages>
    <b:RefOrder>3</b:RefOrder>
  </b:Source>
</b:Sources>
</file>

<file path=customXml/item4.xml><?xml version="1.0" encoding="utf-8"?>
<ct:contentTypeSchema xmlns:ct="http://schemas.microsoft.com/office/2006/metadata/contentType" xmlns:ma="http://schemas.microsoft.com/office/2006/metadata/properties/metaAttributes" ct:_="" ma:_="" ma:contentTypeName="Documento" ma:contentTypeID="0x010100B6E76DCDF9973D4FBDB718F198EB71E8" ma:contentTypeVersion="5" ma:contentTypeDescription="Crear nuevo documento." ma:contentTypeScope="" ma:versionID="5351aeec96ac2b91feebf3bb05154bbc">
  <xsd:schema xmlns:xsd="http://www.w3.org/2001/XMLSchema" xmlns:xs="http://www.w3.org/2001/XMLSchema" xmlns:p="http://schemas.microsoft.com/office/2006/metadata/properties" xmlns:ns3="64e1cc9a-2460-4637-897f-e6ccb05c1cfe" targetNamespace="http://schemas.microsoft.com/office/2006/metadata/properties" ma:root="true" ma:fieldsID="7615348c2b4ac9ad63322b6835fbee81" ns3:_="">
    <xsd:import namespace="64e1cc9a-2460-4637-897f-e6ccb05c1cf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1cc9a-2460-4637-897f-e6ccb05c1cf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D61933-DCF0-4B80-9BC6-75B4FD858212}">
  <ds:schemaRefs>
    <ds:schemaRef ds:uri="http://schemas.microsoft.com/office/2006/metadata/properties"/>
    <ds:schemaRef ds:uri="http://schemas.microsoft.com/office/infopath/2007/PartnerControls"/>
    <ds:schemaRef ds:uri="64e1cc9a-2460-4637-897f-e6ccb05c1cfe"/>
  </ds:schemaRefs>
</ds:datastoreItem>
</file>

<file path=customXml/itemProps2.xml><?xml version="1.0" encoding="utf-8"?>
<ds:datastoreItem xmlns:ds="http://schemas.openxmlformats.org/officeDocument/2006/customXml" ds:itemID="{CCDC1E50-DD64-47B2-81EF-0BC7A6841111}">
  <ds:schemaRefs>
    <ds:schemaRef ds:uri="http://schemas.microsoft.com/sharepoint/v3/contenttype/forms"/>
  </ds:schemaRefs>
</ds:datastoreItem>
</file>

<file path=customXml/itemProps3.xml><?xml version="1.0" encoding="utf-8"?>
<ds:datastoreItem xmlns:ds="http://schemas.openxmlformats.org/officeDocument/2006/customXml" ds:itemID="{765E27BF-80B0-42BA-8E80-20378F710E00}">
  <ds:schemaRefs>
    <ds:schemaRef ds:uri="http://schemas.openxmlformats.org/officeDocument/2006/bibliography"/>
  </ds:schemaRefs>
</ds:datastoreItem>
</file>

<file path=customXml/itemProps4.xml><?xml version="1.0" encoding="utf-8"?>
<ds:datastoreItem xmlns:ds="http://schemas.openxmlformats.org/officeDocument/2006/customXml" ds:itemID="{98BB62D7-DF3F-420E-9781-6F3C638FB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1cc9a-2460-4637-897f-e6ccb05c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105</Pages>
  <Words>38771</Words>
  <Characters>213243</Characters>
  <Application>Microsoft Office Word</Application>
  <DocSecurity>0</DocSecurity>
  <Lines>1777</Lines>
  <Paragraphs>503</Paragraphs>
  <ScaleCrop>false</ScaleCrop>
  <Company>Municipio de Medellin</Company>
  <LinksUpToDate>false</LinksUpToDate>
  <CharactersWithSpaces>251511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Villa Grajales</dc:creator>
  <cp:keywords/>
  <dc:description/>
  <cp:lastModifiedBy>Yuly Catalina De Jesus Zapata Arango</cp:lastModifiedBy>
  <cp:revision>307</cp:revision>
  <cp:lastPrinted>2026-06-17T16:49:00Z</cp:lastPrinted>
  <dcterms:created xsi:type="dcterms:W3CDTF">2026-06-25T20:29:00Z</dcterms:created>
  <dcterms:modified xsi:type="dcterms:W3CDTF">2026-08-27T16:19:00Z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0x010100B6E76DCDF9973D4FBDB718F198EB71E8</vt:lpwstr>
  </property>
</Properties>
</file>